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E0630" w14:textId="2499C83D" w:rsidR="00AA319D" w:rsidRDefault="00AA319D" w:rsidP="06C2E9BC">
      <w:pPr>
        <w:jc w:val="center"/>
        <w:rPr>
          <w:rFonts w:ascii="Aptos" w:eastAsia="Aptos" w:hAnsi="Aptos" w:cs="Aptos"/>
          <w:b/>
          <w:bCs/>
          <w:color w:val="000000" w:themeColor="text1"/>
          <w:sz w:val="48"/>
          <w:szCs w:val="48"/>
        </w:rPr>
      </w:pPr>
    </w:p>
    <w:p w14:paraId="712EEDA3" w14:textId="78B42FD3" w:rsidR="00AA319D" w:rsidRDefault="00AA319D" w:rsidP="06C2E9BC">
      <w:pPr>
        <w:jc w:val="center"/>
        <w:rPr>
          <w:rFonts w:ascii="Aptos" w:eastAsia="Aptos" w:hAnsi="Aptos" w:cs="Aptos"/>
          <w:b/>
          <w:bCs/>
          <w:color w:val="000000" w:themeColor="text1"/>
          <w:sz w:val="48"/>
          <w:szCs w:val="48"/>
        </w:rPr>
      </w:pPr>
    </w:p>
    <w:p w14:paraId="1F2A3803" w14:textId="6EA3F39C" w:rsidR="00AA319D" w:rsidRDefault="00AA319D" w:rsidP="06C2E9BC">
      <w:pPr>
        <w:jc w:val="center"/>
        <w:rPr>
          <w:rFonts w:ascii="Aptos" w:eastAsia="Aptos" w:hAnsi="Aptos" w:cs="Aptos"/>
          <w:b/>
          <w:bCs/>
          <w:color w:val="000000" w:themeColor="text1"/>
          <w:sz w:val="48"/>
          <w:szCs w:val="48"/>
        </w:rPr>
      </w:pPr>
    </w:p>
    <w:p w14:paraId="6A4CC039" w14:textId="558625E6" w:rsidR="00AA319D" w:rsidRDefault="00AA319D" w:rsidP="06C2E9BC">
      <w:pPr>
        <w:jc w:val="center"/>
        <w:rPr>
          <w:rFonts w:ascii="Aptos" w:eastAsia="Aptos" w:hAnsi="Aptos" w:cs="Aptos"/>
          <w:b/>
          <w:bCs/>
          <w:color w:val="000000" w:themeColor="text1"/>
          <w:sz w:val="48"/>
          <w:szCs w:val="48"/>
        </w:rPr>
      </w:pPr>
    </w:p>
    <w:p w14:paraId="5B2613B9" w14:textId="0061ED70" w:rsidR="00AA319D" w:rsidRDefault="00AA319D" w:rsidP="06C2E9BC">
      <w:pPr>
        <w:jc w:val="center"/>
        <w:rPr>
          <w:rFonts w:ascii="Aptos" w:eastAsia="Aptos" w:hAnsi="Aptos" w:cs="Aptos"/>
          <w:b/>
          <w:bCs/>
          <w:color w:val="000000" w:themeColor="text1"/>
          <w:sz w:val="48"/>
          <w:szCs w:val="48"/>
        </w:rPr>
      </w:pPr>
    </w:p>
    <w:p w14:paraId="15DC7C61" w14:textId="41169519" w:rsidR="00AA319D" w:rsidRDefault="35315F79" w:rsidP="06C2E9BC">
      <w:pPr>
        <w:jc w:val="center"/>
        <w:rPr>
          <w:rFonts w:ascii="Aptos" w:eastAsia="Aptos" w:hAnsi="Aptos" w:cs="Aptos"/>
          <w:color w:val="000000" w:themeColor="text1"/>
          <w:sz w:val="48"/>
          <w:szCs w:val="48"/>
        </w:rPr>
      </w:pPr>
      <w:r w:rsidRPr="06C2E9BC">
        <w:rPr>
          <w:rFonts w:ascii="Aptos" w:eastAsia="Aptos" w:hAnsi="Aptos" w:cs="Aptos"/>
          <w:b/>
          <w:bCs/>
          <w:color w:val="000000" w:themeColor="text1"/>
          <w:sz w:val="48"/>
          <w:szCs w:val="48"/>
        </w:rPr>
        <w:t>Nebraska Department of Education Response to vendor Questions</w:t>
      </w:r>
    </w:p>
    <w:p w14:paraId="7B34226F" w14:textId="7F95CD77" w:rsidR="00AA319D" w:rsidRDefault="35315F79" w:rsidP="4A3C5668">
      <w:pPr>
        <w:jc w:val="center"/>
        <w:rPr>
          <w:rFonts w:ascii="Aptos" w:eastAsia="Aptos" w:hAnsi="Aptos" w:cs="Aptos"/>
          <w:b/>
          <w:bCs/>
          <w:color w:val="000000" w:themeColor="text1"/>
          <w:sz w:val="48"/>
          <w:szCs w:val="48"/>
        </w:rPr>
      </w:pPr>
      <w:r w:rsidRPr="4A3C5668">
        <w:rPr>
          <w:rFonts w:ascii="Aptos" w:eastAsia="Aptos" w:hAnsi="Aptos" w:cs="Aptos"/>
          <w:b/>
          <w:bCs/>
          <w:color w:val="000000" w:themeColor="text1"/>
          <w:sz w:val="48"/>
          <w:szCs w:val="48"/>
        </w:rPr>
        <w:t>NDERFP250</w:t>
      </w:r>
      <w:r w:rsidR="269EEECA" w:rsidRPr="4A3C5668">
        <w:rPr>
          <w:rFonts w:ascii="Aptos" w:eastAsia="Aptos" w:hAnsi="Aptos" w:cs="Aptos"/>
          <w:b/>
          <w:bCs/>
          <w:color w:val="000000" w:themeColor="text1"/>
          <w:sz w:val="48"/>
          <w:szCs w:val="48"/>
        </w:rPr>
        <w:t>530</w:t>
      </w:r>
    </w:p>
    <w:p w14:paraId="7B523687" w14:textId="6A97EB2F" w:rsidR="00AA319D" w:rsidRDefault="00AA319D" w:rsidP="06C2E9BC">
      <w:pPr>
        <w:jc w:val="center"/>
        <w:rPr>
          <w:rFonts w:ascii="Aptos" w:eastAsia="Aptos" w:hAnsi="Aptos" w:cs="Aptos"/>
          <w:b/>
          <w:bCs/>
          <w:color w:val="000000" w:themeColor="text1"/>
          <w:sz w:val="48"/>
          <w:szCs w:val="48"/>
        </w:rPr>
      </w:pPr>
    </w:p>
    <w:p w14:paraId="05C41365" w14:textId="22139B51" w:rsidR="00AA319D" w:rsidRDefault="00E820FA">
      <w:r>
        <w:br w:type="page"/>
      </w:r>
    </w:p>
    <w:tbl>
      <w:tblPr>
        <w:tblW w:w="93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4950"/>
        <w:gridCol w:w="4410"/>
      </w:tblGrid>
      <w:tr w:rsidR="06C2E9BC" w14:paraId="79C38569" w14:textId="77777777" w:rsidTr="4A3C5668">
        <w:trPr>
          <w:trHeight w:val="615"/>
        </w:trPr>
        <w:tc>
          <w:tcPr>
            <w:tcW w:w="4950" w:type="dxa"/>
            <w:shd w:val="clear" w:color="auto" w:fill="BDD7EE"/>
            <w:tcMar>
              <w:top w:w="15" w:type="dxa"/>
              <w:left w:w="15" w:type="dxa"/>
              <w:right w:w="15" w:type="dxa"/>
            </w:tcMar>
            <w:vAlign w:val="center"/>
          </w:tcPr>
          <w:p w14:paraId="44D9FF4D" w14:textId="5B97256A" w:rsidR="06C2E9BC" w:rsidRDefault="06C2E9BC" w:rsidP="06C2E9BC">
            <w:pPr>
              <w:spacing w:after="0"/>
              <w:jc w:val="center"/>
            </w:pPr>
            <w:r w:rsidRPr="06C2E9BC">
              <w:rPr>
                <w:rFonts w:ascii="Calibri" w:eastAsia="Calibri" w:hAnsi="Calibri" w:cs="Calibri"/>
                <w:b/>
                <w:bCs/>
                <w:color w:val="000000" w:themeColor="text1"/>
                <w:sz w:val="22"/>
                <w:szCs w:val="22"/>
              </w:rPr>
              <w:lastRenderedPageBreak/>
              <w:t>Questions</w:t>
            </w:r>
          </w:p>
        </w:tc>
        <w:tc>
          <w:tcPr>
            <w:tcW w:w="4410" w:type="dxa"/>
            <w:shd w:val="clear" w:color="auto" w:fill="BDD7EE"/>
            <w:tcMar>
              <w:top w:w="15" w:type="dxa"/>
              <w:left w:w="15" w:type="dxa"/>
              <w:right w:w="15" w:type="dxa"/>
            </w:tcMar>
            <w:vAlign w:val="center"/>
          </w:tcPr>
          <w:p w14:paraId="0E17C85A" w14:textId="5839A384" w:rsidR="06C2E9BC" w:rsidRDefault="06C2E9BC" w:rsidP="06C2E9BC">
            <w:pPr>
              <w:spacing w:after="0"/>
              <w:jc w:val="center"/>
            </w:pPr>
            <w:r w:rsidRPr="06C2E9BC">
              <w:rPr>
                <w:rFonts w:ascii="Calibri" w:eastAsia="Calibri" w:hAnsi="Calibri" w:cs="Calibri"/>
                <w:b/>
                <w:bCs/>
                <w:color w:val="000000" w:themeColor="text1"/>
                <w:sz w:val="22"/>
                <w:szCs w:val="22"/>
              </w:rPr>
              <w:t>Answer</w:t>
            </w:r>
          </w:p>
        </w:tc>
      </w:tr>
      <w:tr w:rsidR="06C2E9BC" w14:paraId="11180B74" w14:textId="77777777" w:rsidTr="4A3C5668">
        <w:trPr>
          <w:trHeight w:val="930"/>
        </w:trPr>
        <w:tc>
          <w:tcPr>
            <w:tcW w:w="4950" w:type="dxa"/>
            <w:tcMar>
              <w:top w:w="15" w:type="dxa"/>
              <w:left w:w="15" w:type="dxa"/>
              <w:right w:w="15" w:type="dxa"/>
            </w:tcMar>
            <w:vAlign w:val="center"/>
          </w:tcPr>
          <w:p w14:paraId="5927B6F3" w14:textId="53997830" w:rsidR="06C2E9BC" w:rsidRDefault="06C2E9BC" w:rsidP="06C2E9BC">
            <w:pPr>
              <w:spacing w:after="0"/>
            </w:pPr>
            <w:r w:rsidRPr="06C2E9BC">
              <w:rPr>
                <w:rFonts w:ascii="Arial" w:eastAsia="Arial" w:hAnsi="Arial" w:cs="Arial"/>
                <w:color w:val="000000" w:themeColor="text1"/>
                <w:sz w:val="20"/>
                <w:szCs w:val="20"/>
              </w:rPr>
              <w:t>It looks like the RFP name is incorrectly stated as “NDERFP250728 - High-Quality IEP Development and Implementation Pilot Project” is all other information under B correct for this solicitation?</w:t>
            </w:r>
          </w:p>
        </w:tc>
        <w:tc>
          <w:tcPr>
            <w:tcW w:w="4410" w:type="dxa"/>
            <w:tcMar>
              <w:top w:w="15" w:type="dxa"/>
              <w:left w:w="15" w:type="dxa"/>
              <w:right w:w="15" w:type="dxa"/>
            </w:tcMar>
            <w:vAlign w:val="center"/>
          </w:tcPr>
          <w:p w14:paraId="1AE4CBA7" w14:textId="571887FE" w:rsidR="06C2E9BC" w:rsidRDefault="06C2E9BC" w:rsidP="06C2E9BC">
            <w:pPr>
              <w:spacing w:after="0"/>
            </w:pPr>
            <w:r w:rsidRPr="06C2E9BC">
              <w:rPr>
                <w:rFonts w:ascii="Arial" w:eastAsia="Arial" w:hAnsi="Arial" w:cs="Arial"/>
                <w:color w:val="000000" w:themeColor="text1"/>
                <w:sz w:val="20"/>
                <w:szCs w:val="20"/>
              </w:rPr>
              <w:t>Correction made to the revised version of the RFP</w:t>
            </w:r>
          </w:p>
        </w:tc>
      </w:tr>
      <w:tr w:rsidR="06C2E9BC" w14:paraId="11D61EF2" w14:textId="77777777" w:rsidTr="4A3C5668">
        <w:trPr>
          <w:trHeight w:val="465"/>
        </w:trPr>
        <w:tc>
          <w:tcPr>
            <w:tcW w:w="4950" w:type="dxa"/>
            <w:tcMar>
              <w:top w:w="15" w:type="dxa"/>
              <w:left w:w="15" w:type="dxa"/>
              <w:right w:w="15" w:type="dxa"/>
            </w:tcMar>
            <w:vAlign w:val="center"/>
          </w:tcPr>
          <w:p w14:paraId="4D503B1A" w14:textId="459B76FA" w:rsidR="06C2E9BC" w:rsidRDefault="06C2E9BC" w:rsidP="06C2E9BC">
            <w:pPr>
              <w:spacing w:after="0"/>
            </w:pPr>
            <w:r w:rsidRPr="06C2E9BC">
              <w:rPr>
                <w:rFonts w:ascii="Arial" w:eastAsia="Arial" w:hAnsi="Arial" w:cs="Arial"/>
                <w:color w:val="000000" w:themeColor="text1"/>
                <w:sz w:val="20"/>
                <w:szCs w:val="20"/>
              </w:rPr>
              <w:t>Please confirm the anticipated intent to award date. December 6 is a Saturday.</w:t>
            </w:r>
          </w:p>
        </w:tc>
        <w:tc>
          <w:tcPr>
            <w:tcW w:w="4410" w:type="dxa"/>
            <w:tcMar>
              <w:top w:w="15" w:type="dxa"/>
              <w:left w:w="15" w:type="dxa"/>
              <w:right w:w="15" w:type="dxa"/>
            </w:tcMar>
            <w:vAlign w:val="center"/>
          </w:tcPr>
          <w:p w14:paraId="3AF3520A" w14:textId="4BEE250B" w:rsidR="06C2E9BC" w:rsidRDefault="06C2E9BC" w:rsidP="06C2E9BC">
            <w:pPr>
              <w:spacing w:after="0"/>
            </w:pPr>
            <w:r w:rsidRPr="06C2E9BC">
              <w:rPr>
                <w:rFonts w:ascii="Arial" w:eastAsia="Arial" w:hAnsi="Arial" w:cs="Arial"/>
                <w:color w:val="000000" w:themeColor="text1"/>
                <w:sz w:val="20"/>
                <w:szCs w:val="20"/>
              </w:rPr>
              <w:t>Monday, December 8th</w:t>
            </w:r>
          </w:p>
        </w:tc>
      </w:tr>
      <w:tr w:rsidR="06C2E9BC" w14:paraId="1B899E37" w14:textId="77777777" w:rsidTr="4A3C5668">
        <w:trPr>
          <w:trHeight w:val="1170"/>
        </w:trPr>
        <w:tc>
          <w:tcPr>
            <w:tcW w:w="4950" w:type="dxa"/>
            <w:tcMar>
              <w:top w:w="15" w:type="dxa"/>
              <w:left w:w="15" w:type="dxa"/>
              <w:right w:w="15" w:type="dxa"/>
            </w:tcMar>
            <w:vAlign w:val="center"/>
          </w:tcPr>
          <w:p w14:paraId="08A96443" w14:textId="22707F97" w:rsidR="06C2E9BC" w:rsidRDefault="06C2E9BC" w:rsidP="06C2E9BC">
            <w:pPr>
              <w:spacing w:after="0"/>
            </w:pPr>
            <w:r w:rsidRPr="06C2E9BC">
              <w:rPr>
                <w:rFonts w:ascii="Arial" w:eastAsia="Arial" w:hAnsi="Arial" w:cs="Arial"/>
                <w:color w:val="000000" w:themeColor="text1"/>
                <w:sz w:val="20"/>
                <w:szCs w:val="20"/>
              </w:rPr>
              <w:t>Please clarify the following directions regarding how to submit confidential information, “The Solicitation response and Proprietary information should be attached as separate and distinct files.” If a bidder has a confidential paragraph within a narrative response or a confidential attachment, does NDE need to receive the entire proposal twice, once with the confidential information included and once with the confidential information redacted?</w:t>
            </w:r>
          </w:p>
        </w:tc>
        <w:tc>
          <w:tcPr>
            <w:tcW w:w="4410" w:type="dxa"/>
            <w:tcMar>
              <w:top w:w="15" w:type="dxa"/>
              <w:left w:w="15" w:type="dxa"/>
              <w:right w:w="15" w:type="dxa"/>
            </w:tcMar>
            <w:vAlign w:val="center"/>
          </w:tcPr>
          <w:p w14:paraId="482DF9CB" w14:textId="424CE59C" w:rsidR="06C2E9BC" w:rsidRDefault="06C2E9BC" w:rsidP="06C2E9BC">
            <w:pPr>
              <w:spacing w:after="0"/>
            </w:pPr>
            <w:r w:rsidRPr="06C2E9BC">
              <w:rPr>
                <w:rFonts w:ascii="Arial" w:eastAsia="Arial" w:hAnsi="Arial" w:cs="Arial"/>
                <w:color w:val="000000" w:themeColor="text1"/>
                <w:sz w:val="20"/>
                <w:szCs w:val="20"/>
              </w:rPr>
              <w:t xml:space="preserve">NDE leaves this up to the bidder to decide regarding how the bidder deals with confidential information in a paragraph within a narrative response or confidential attachment. </w:t>
            </w:r>
          </w:p>
        </w:tc>
      </w:tr>
      <w:tr w:rsidR="06C2E9BC" w14:paraId="03934214" w14:textId="77777777" w:rsidTr="4A3C5668">
        <w:trPr>
          <w:trHeight w:val="705"/>
        </w:trPr>
        <w:tc>
          <w:tcPr>
            <w:tcW w:w="4950" w:type="dxa"/>
            <w:tcMar>
              <w:top w:w="15" w:type="dxa"/>
              <w:left w:w="15" w:type="dxa"/>
              <w:right w:w="15" w:type="dxa"/>
            </w:tcMar>
            <w:vAlign w:val="center"/>
          </w:tcPr>
          <w:p w14:paraId="1B7CF01D" w14:textId="2D291EAE" w:rsidR="06C2E9BC" w:rsidRDefault="06C2E9BC" w:rsidP="06C2E9BC">
            <w:pPr>
              <w:spacing w:after="0"/>
            </w:pPr>
            <w:r w:rsidRPr="06C2E9BC">
              <w:rPr>
                <w:rFonts w:ascii="Arial" w:eastAsia="Arial" w:hAnsi="Arial" w:cs="Arial"/>
                <w:color w:val="000000" w:themeColor="text1"/>
                <w:sz w:val="20"/>
                <w:szCs w:val="20"/>
              </w:rPr>
              <w:t>The instructions state that all documents must be emailed in PDF format. Please confirm NDE requests the NDE Vendor Cost Sheet back as a PDF and that an Excel version is not required.</w:t>
            </w:r>
          </w:p>
        </w:tc>
        <w:tc>
          <w:tcPr>
            <w:tcW w:w="4410" w:type="dxa"/>
            <w:tcMar>
              <w:top w:w="15" w:type="dxa"/>
              <w:left w:w="15" w:type="dxa"/>
              <w:right w:w="15" w:type="dxa"/>
            </w:tcMar>
            <w:vAlign w:val="center"/>
          </w:tcPr>
          <w:p w14:paraId="53E211AC" w14:textId="1BD20A33" w:rsidR="06C2E9BC" w:rsidRDefault="06C2E9BC" w:rsidP="06C2E9BC">
            <w:pPr>
              <w:spacing w:after="0"/>
            </w:pPr>
            <w:r w:rsidRPr="06C2E9BC">
              <w:rPr>
                <w:rFonts w:ascii="Arial" w:eastAsia="Arial" w:hAnsi="Arial" w:cs="Arial"/>
                <w:color w:val="000000" w:themeColor="text1"/>
                <w:sz w:val="20"/>
                <w:szCs w:val="20"/>
              </w:rPr>
              <w:t>Please fill out the excel sheet. Once completed, submit in a PDF format</w:t>
            </w:r>
          </w:p>
        </w:tc>
      </w:tr>
      <w:tr w:rsidR="06C2E9BC" w14:paraId="2B32BE66" w14:textId="77777777" w:rsidTr="4A3C5668">
        <w:trPr>
          <w:trHeight w:val="705"/>
        </w:trPr>
        <w:tc>
          <w:tcPr>
            <w:tcW w:w="4950" w:type="dxa"/>
            <w:tcMar>
              <w:top w:w="15" w:type="dxa"/>
              <w:left w:w="15" w:type="dxa"/>
              <w:right w:w="15" w:type="dxa"/>
            </w:tcMar>
            <w:vAlign w:val="center"/>
          </w:tcPr>
          <w:p w14:paraId="2182824E" w14:textId="18006C9D" w:rsidR="06C2E9BC" w:rsidRDefault="06C2E9BC" w:rsidP="06C2E9BC">
            <w:pPr>
              <w:spacing w:after="0"/>
            </w:pPr>
            <w:r w:rsidRPr="06C2E9BC">
              <w:rPr>
                <w:rFonts w:ascii="Arial" w:eastAsia="Arial" w:hAnsi="Arial" w:cs="Arial"/>
                <w:color w:val="000000" w:themeColor="text1"/>
                <w:sz w:val="20"/>
                <w:szCs w:val="20"/>
              </w:rPr>
              <w:t>Can bidders provide a cost narrative along with the vendor cost sheet?</w:t>
            </w:r>
          </w:p>
        </w:tc>
        <w:tc>
          <w:tcPr>
            <w:tcW w:w="4410" w:type="dxa"/>
            <w:tcMar>
              <w:top w:w="15" w:type="dxa"/>
              <w:left w:w="15" w:type="dxa"/>
              <w:right w:w="15" w:type="dxa"/>
            </w:tcMar>
            <w:vAlign w:val="center"/>
          </w:tcPr>
          <w:p w14:paraId="6E4BB08D" w14:textId="4EDAA22E" w:rsidR="06C2E9BC" w:rsidRDefault="06C2E9BC" w:rsidP="06C2E9BC">
            <w:pPr>
              <w:spacing w:after="0"/>
            </w:pPr>
            <w:r w:rsidRPr="06C2E9BC">
              <w:rPr>
                <w:rFonts w:ascii="Arial" w:eastAsia="Arial" w:hAnsi="Arial" w:cs="Arial"/>
                <w:color w:val="000000" w:themeColor="text1"/>
                <w:sz w:val="20"/>
                <w:szCs w:val="20"/>
              </w:rPr>
              <w:t>Yes</w:t>
            </w:r>
          </w:p>
        </w:tc>
      </w:tr>
      <w:tr w:rsidR="06C2E9BC" w14:paraId="7F729DAF" w14:textId="77777777" w:rsidTr="4A3C5668">
        <w:trPr>
          <w:trHeight w:val="705"/>
        </w:trPr>
        <w:tc>
          <w:tcPr>
            <w:tcW w:w="4950" w:type="dxa"/>
            <w:tcMar>
              <w:top w:w="15" w:type="dxa"/>
              <w:left w:w="15" w:type="dxa"/>
              <w:right w:w="15" w:type="dxa"/>
            </w:tcMar>
            <w:vAlign w:val="center"/>
          </w:tcPr>
          <w:p w14:paraId="16F8AD53" w14:textId="19F7CC88" w:rsidR="06C2E9BC" w:rsidRDefault="06C2E9BC" w:rsidP="06C2E9BC">
            <w:pPr>
              <w:spacing w:after="0"/>
            </w:pPr>
            <w:r w:rsidRPr="06C2E9BC">
              <w:rPr>
                <w:rFonts w:ascii="Arial" w:eastAsia="Arial" w:hAnsi="Arial" w:cs="Arial"/>
                <w:color w:val="000000" w:themeColor="text1"/>
                <w:sz w:val="20"/>
                <w:szCs w:val="20"/>
              </w:rPr>
              <w:t>The RFP states “each evaluation category will have a maximum point potential.” To ensure transparency and help bidders know areas of greatest concern to NDE, can the point distribution be shared along with NDE’s responses to bidder questions?</w:t>
            </w:r>
          </w:p>
        </w:tc>
        <w:tc>
          <w:tcPr>
            <w:tcW w:w="4410" w:type="dxa"/>
            <w:tcMar>
              <w:top w:w="15" w:type="dxa"/>
              <w:left w:w="15" w:type="dxa"/>
              <w:right w:w="15" w:type="dxa"/>
            </w:tcMar>
            <w:vAlign w:val="center"/>
          </w:tcPr>
          <w:p w14:paraId="5EC88E9D" w14:textId="4CDF79EE" w:rsidR="06C2E9BC" w:rsidRDefault="06C2E9BC" w:rsidP="06C2E9BC">
            <w:pPr>
              <w:spacing w:after="0"/>
            </w:pPr>
            <w:r w:rsidRPr="06C2E9BC">
              <w:rPr>
                <w:rFonts w:ascii="Arial" w:eastAsia="Arial" w:hAnsi="Arial" w:cs="Arial"/>
                <w:color w:val="000000" w:themeColor="text1"/>
                <w:sz w:val="20"/>
                <w:szCs w:val="20"/>
              </w:rPr>
              <w:t>Corporate Overview: 0-40; Technical Proposal: 0-40; Cost Proposal: 0-</w:t>
            </w:r>
            <w:proofErr w:type="gramStart"/>
            <w:r w:rsidRPr="06C2E9BC">
              <w:rPr>
                <w:rFonts w:ascii="Arial" w:eastAsia="Arial" w:hAnsi="Arial" w:cs="Arial"/>
                <w:color w:val="000000" w:themeColor="text1"/>
                <w:sz w:val="20"/>
                <w:szCs w:val="20"/>
              </w:rPr>
              <w:t>20  The</w:t>
            </w:r>
            <w:proofErr w:type="gramEnd"/>
            <w:r w:rsidRPr="06C2E9BC">
              <w:rPr>
                <w:rFonts w:ascii="Arial" w:eastAsia="Arial" w:hAnsi="Arial" w:cs="Arial"/>
                <w:color w:val="000000" w:themeColor="text1"/>
                <w:sz w:val="20"/>
                <w:szCs w:val="20"/>
              </w:rPr>
              <w:t xml:space="preserve"> responses to bidders questions will be shared.</w:t>
            </w:r>
          </w:p>
        </w:tc>
      </w:tr>
      <w:tr w:rsidR="06C2E9BC" w14:paraId="572EFC07" w14:textId="77777777" w:rsidTr="4A3C5668">
        <w:trPr>
          <w:trHeight w:val="1380"/>
        </w:trPr>
        <w:tc>
          <w:tcPr>
            <w:tcW w:w="4950" w:type="dxa"/>
            <w:tcMar>
              <w:top w:w="15" w:type="dxa"/>
              <w:left w:w="15" w:type="dxa"/>
              <w:right w:w="15" w:type="dxa"/>
            </w:tcMar>
            <w:vAlign w:val="center"/>
          </w:tcPr>
          <w:p w14:paraId="52E65384" w14:textId="55C9D3A1" w:rsidR="06C2E9BC" w:rsidRDefault="06C2E9BC" w:rsidP="06C2E9BC">
            <w:pPr>
              <w:spacing w:after="0"/>
            </w:pPr>
            <w:r w:rsidRPr="06C2E9BC">
              <w:rPr>
                <w:rFonts w:ascii="Arial" w:eastAsia="Arial" w:hAnsi="Arial" w:cs="Arial"/>
                <w:color w:val="000000" w:themeColor="text1"/>
                <w:sz w:val="20"/>
                <w:szCs w:val="20"/>
              </w:rPr>
              <w:t xml:space="preserve">Please clarify if it is NDE’s intent to enforce the 10% retainage policy for the proposed contract. The current college entrance exam contract retains 5% from each monthly invoice and is reconciled in the final annual invoice. If retainage will be required, is “completion of project” defined as the end of the current contract year? Because the term of the contract is one year with the option to renew up to four additional years, it is assumed “completion of project does not refer to the end of the maximum </w:t>
            </w:r>
            <w:proofErr w:type="gramStart"/>
            <w:r w:rsidRPr="06C2E9BC">
              <w:rPr>
                <w:rFonts w:ascii="Arial" w:eastAsia="Arial" w:hAnsi="Arial" w:cs="Arial"/>
                <w:color w:val="000000" w:themeColor="text1"/>
                <w:sz w:val="20"/>
                <w:szCs w:val="20"/>
              </w:rPr>
              <w:t>five year</w:t>
            </w:r>
            <w:proofErr w:type="gramEnd"/>
            <w:r w:rsidRPr="06C2E9BC">
              <w:rPr>
                <w:rFonts w:ascii="Arial" w:eastAsia="Arial" w:hAnsi="Arial" w:cs="Arial"/>
                <w:color w:val="000000" w:themeColor="text1"/>
                <w:sz w:val="20"/>
                <w:szCs w:val="20"/>
              </w:rPr>
              <w:t xml:space="preserve"> contract.</w:t>
            </w:r>
          </w:p>
        </w:tc>
        <w:tc>
          <w:tcPr>
            <w:tcW w:w="4410" w:type="dxa"/>
            <w:tcMar>
              <w:top w:w="15" w:type="dxa"/>
              <w:left w:w="15" w:type="dxa"/>
              <w:right w:w="15" w:type="dxa"/>
            </w:tcMar>
            <w:vAlign w:val="center"/>
          </w:tcPr>
          <w:p w14:paraId="3C25A29A" w14:textId="19A395F8" w:rsidR="06C2E9BC" w:rsidRDefault="06C2E9BC" w:rsidP="06C2E9BC">
            <w:pPr>
              <w:spacing w:after="0"/>
            </w:pPr>
            <w:r w:rsidRPr="06C2E9BC">
              <w:rPr>
                <w:rFonts w:ascii="Arial" w:eastAsia="Arial" w:hAnsi="Arial" w:cs="Arial"/>
                <w:color w:val="000000" w:themeColor="text1"/>
                <w:sz w:val="20"/>
                <w:szCs w:val="20"/>
              </w:rPr>
              <w:t xml:space="preserve">NDE has elected to make the following revision that will be reflected in the RFP: NDE may withhold up to ten percent (10%) of each payment for deliverables </w:t>
            </w:r>
            <w:proofErr w:type="gramStart"/>
            <w:r w:rsidRPr="06C2E9BC">
              <w:rPr>
                <w:rFonts w:ascii="Arial" w:eastAsia="Arial" w:hAnsi="Arial" w:cs="Arial"/>
                <w:color w:val="000000" w:themeColor="text1"/>
                <w:sz w:val="20"/>
                <w:szCs w:val="20"/>
              </w:rPr>
              <w:t>in a given</w:t>
            </w:r>
            <w:proofErr w:type="gramEnd"/>
            <w:r w:rsidRPr="06C2E9BC">
              <w:rPr>
                <w:rFonts w:ascii="Arial" w:eastAsia="Arial" w:hAnsi="Arial" w:cs="Arial"/>
                <w:color w:val="000000" w:themeColor="text1"/>
                <w:sz w:val="20"/>
                <w:szCs w:val="20"/>
              </w:rPr>
              <w:t xml:space="preserve"> contract period, payable upon successful completion of such deliverables as determined by NDE.</w:t>
            </w:r>
          </w:p>
        </w:tc>
      </w:tr>
      <w:tr w:rsidR="06C2E9BC" w14:paraId="48680EC0" w14:textId="77777777" w:rsidTr="4A3C5668">
        <w:trPr>
          <w:trHeight w:val="930"/>
        </w:trPr>
        <w:tc>
          <w:tcPr>
            <w:tcW w:w="4950" w:type="dxa"/>
            <w:tcMar>
              <w:top w:w="15" w:type="dxa"/>
              <w:left w:w="15" w:type="dxa"/>
              <w:right w:w="15" w:type="dxa"/>
            </w:tcMar>
            <w:vAlign w:val="center"/>
          </w:tcPr>
          <w:p w14:paraId="633E8636" w14:textId="2ADC2C57" w:rsidR="06C2E9BC" w:rsidRDefault="06C2E9BC" w:rsidP="06C2E9BC">
            <w:pPr>
              <w:spacing w:after="0"/>
            </w:pPr>
            <w:r w:rsidRPr="06C2E9BC">
              <w:rPr>
                <w:rFonts w:ascii="Arial" w:eastAsia="Arial" w:hAnsi="Arial" w:cs="Arial"/>
                <w:color w:val="000000" w:themeColor="text1"/>
                <w:sz w:val="20"/>
                <w:szCs w:val="20"/>
              </w:rPr>
              <w:t>On page 32 of the RFP, it indicates vendor needs to email a certificate of insurance coverage before starting work, so the assumption is nothing needs to be provided within the proposal or emailed to NDE at this time. Is that correct, or do bidders need to provide evidence of insurance now?</w:t>
            </w:r>
          </w:p>
        </w:tc>
        <w:tc>
          <w:tcPr>
            <w:tcW w:w="4410" w:type="dxa"/>
            <w:tcMar>
              <w:top w:w="15" w:type="dxa"/>
              <w:left w:w="15" w:type="dxa"/>
              <w:right w:w="15" w:type="dxa"/>
            </w:tcMar>
            <w:vAlign w:val="center"/>
          </w:tcPr>
          <w:p w14:paraId="735E3AB9" w14:textId="7E2EC808" w:rsidR="06C2E9BC" w:rsidRDefault="06C2E9BC" w:rsidP="06C2E9BC">
            <w:pPr>
              <w:spacing w:after="0"/>
            </w:pPr>
            <w:r w:rsidRPr="06C2E9BC">
              <w:rPr>
                <w:rFonts w:ascii="Arial" w:eastAsia="Arial" w:hAnsi="Arial" w:cs="Arial"/>
                <w:color w:val="000000" w:themeColor="text1"/>
                <w:sz w:val="20"/>
                <w:szCs w:val="20"/>
              </w:rPr>
              <w:t>This is correct. BIdder does not provide evidence of insurance now.</w:t>
            </w:r>
          </w:p>
        </w:tc>
      </w:tr>
      <w:tr w:rsidR="06C2E9BC" w14:paraId="63948FF9" w14:textId="77777777" w:rsidTr="4A3C5668">
        <w:trPr>
          <w:trHeight w:val="930"/>
        </w:trPr>
        <w:tc>
          <w:tcPr>
            <w:tcW w:w="4950" w:type="dxa"/>
            <w:tcMar>
              <w:top w:w="15" w:type="dxa"/>
              <w:left w:w="15" w:type="dxa"/>
              <w:right w:w="15" w:type="dxa"/>
            </w:tcMar>
            <w:vAlign w:val="center"/>
          </w:tcPr>
          <w:p w14:paraId="7B3705F0" w14:textId="21D4C6C0" w:rsidR="06C2E9BC" w:rsidRDefault="06C2E9BC" w:rsidP="06C2E9BC">
            <w:pPr>
              <w:spacing w:after="0"/>
            </w:pPr>
            <w:r w:rsidRPr="06C2E9BC">
              <w:rPr>
                <w:rFonts w:ascii="Arial" w:eastAsia="Arial" w:hAnsi="Arial" w:cs="Arial"/>
                <w:color w:val="000000" w:themeColor="text1"/>
                <w:sz w:val="20"/>
                <w:szCs w:val="20"/>
              </w:rPr>
              <w:lastRenderedPageBreak/>
              <w:t>The RFP states that the assessment must include “the areas of English, Reading with a writing component, Mathematics, and Science.” Because the assessment is used for both state and federal accountability for these subjects, please confirm, only assessments with separate science and writing sections will be considered.</w:t>
            </w:r>
          </w:p>
        </w:tc>
        <w:tc>
          <w:tcPr>
            <w:tcW w:w="4410" w:type="dxa"/>
            <w:tcMar>
              <w:top w:w="15" w:type="dxa"/>
              <w:left w:w="15" w:type="dxa"/>
              <w:right w:w="15" w:type="dxa"/>
            </w:tcMar>
            <w:vAlign w:val="center"/>
          </w:tcPr>
          <w:p w14:paraId="69F646FA" w14:textId="1DEA6265" w:rsidR="06C2E9BC" w:rsidRDefault="06C2E9BC" w:rsidP="06C2E9BC">
            <w:pPr>
              <w:spacing w:after="0"/>
            </w:pPr>
            <w:r w:rsidRPr="06C2E9BC">
              <w:rPr>
                <w:rFonts w:ascii="Arial" w:eastAsia="Arial" w:hAnsi="Arial" w:cs="Arial"/>
                <w:color w:val="000000" w:themeColor="text1"/>
                <w:sz w:val="20"/>
                <w:szCs w:val="20"/>
              </w:rPr>
              <w:t>Confirmed: separate science and writing tests must be offered as part of the college admission test</w:t>
            </w:r>
          </w:p>
        </w:tc>
      </w:tr>
      <w:tr w:rsidR="06C2E9BC" w14:paraId="39F77B24" w14:textId="77777777" w:rsidTr="4A3C5668">
        <w:trPr>
          <w:trHeight w:val="930"/>
        </w:trPr>
        <w:tc>
          <w:tcPr>
            <w:tcW w:w="4950" w:type="dxa"/>
            <w:tcMar>
              <w:top w:w="15" w:type="dxa"/>
              <w:left w:w="15" w:type="dxa"/>
              <w:right w:w="15" w:type="dxa"/>
            </w:tcMar>
            <w:vAlign w:val="center"/>
          </w:tcPr>
          <w:p w14:paraId="3261A2BB" w14:textId="5B944458" w:rsidR="06C2E9BC" w:rsidRDefault="06C2E9BC" w:rsidP="06C2E9BC">
            <w:pPr>
              <w:spacing w:after="0"/>
            </w:pPr>
            <w:r w:rsidRPr="06C2E9BC">
              <w:rPr>
                <w:rFonts w:ascii="Arial" w:eastAsia="Arial" w:hAnsi="Arial" w:cs="Arial"/>
                <w:color w:val="000000" w:themeColor="text1"/>
                <w:sz w:val="20"/>
                <w:szCs w:val="20"/>
              </w:rPr>
              <w:t xml:space="preserve">Please confirm that costs for all required subject tests for “English, </w:t>
            </w:r>
            <w:proofErr w:type="gramStart"/>
            <w:r w:rsidRPr="06C2E9BC">
              <w:rPr>
                <w:rFonts w:ascii="Arial" w:eastAsia="Arial" w:hAnsi="Arial" w:cs="Arial"/>
                <w:color w:val="000000" w:themeColor="text1"/>
                <w:sz w:val="20"/>
                <w:szCs w:val="20"/>
              </w:rPr>
              <w:t>Reading</w:t>
            </w:r>
            <w:proofErr w:type="gramEnd"/>
            <w:r w:rsidRPr="06C2E9BC">
              <w:rPr>
                <w:rFonts w:ascii="Arial" w:eastAsia="Arial" w:hAnsi="Arial" w:cs="Arial"/>
                <w:color w:val="000000" w:themeColor="text1"/>
                <w:sz w:val="20"/>
                <w:szCs w:val="20"/>
              </w:rPr>
              <w:t xml:space="preserve"> with a writing component, Mathematics, and Science” must be included in the Total Project Costs and should not be separated out into the Optional Supports/Enhancements section of the NDE Vendor Cost Sheet, as they are not optional.</w:t>
            </w:r>
          </w:p>
        </w:tc>
        <w:tc>
          <w:tcPr>
            <w:tcW w:w="4410" w:type="dxa"/>
            <w:tcMar>
              <w:top w:w="15" w:type="dxa"/>
              <w:left w:w="15" w:type="dxa"/>
              <w:right w:w="15" w:type="dxa"/>
            </w:tcMar>
            <w:vAlign w:val="center"/>
          </w:tcPr>
          <w:p w14:paraId="24AC751E" w14:textId="1B6A6791" w:rsidR="06C2E9BC" w:rsidRDefault="06C2E9BC" w:rsidP="06C2E9BC">
            <w:pPr>
              <w:spacing w:after="0"/>
            </w:pPr>
            <w:r w:rsidRPr="06C2E9BC">
              <w:rPr>
                <w:rFonts w:ascii="Arial" w:eastAsia="Arial" w:hAnsi="Arial" w:cs="Arial"/>
                <w:color w:val="000000" w:themeColor="text1"/>
                <w:sz w:val="20"/>
                <w:szCs w:val="20"/>
              </w:rPr>
              <w:t>Costs for English, Reading, Mathematics, and Science must be included in the Total Project Costs and not be separated out into Optional Supports/Enhancements. They are not optional.</w:t>
            </w:r>
          </w:p>
        </w:tc>
      </w:tr>
      <w:tr w:rsidR="06C2E9BC" w14:paraId="67F1F37B" w14:textId="77777777" w:rsidTr="4A3C5668">
        <w:trPr>
          <w:trHeight w:val="705"/>
        </w:trPr>
        <w:tc>
          <w:tcPr>
            <w:tcW w:w="4950" w:type="dxa"/>
            <w:tcMar>
              <w:top w:w="15" w:type="dxa"/>
              <w:left w:w="15" w:type="dxa"/>
              <w:right w:w="15" w:type="dxa"/>
            </w:tcMar>
            <w:vAlign w:val="center"/>
          </w:tcPr>
          <w:p w14:paraId="349C66E7" w14:textId="22D9FF56" w:rsidR="06C2E9BC" w:rsidRDefault="06C2E9BC" w:rsidP="06C2E9BC">
            <w:pPr>
              <w:spacing w:after="0"/>
            </w:pPr>
            <w:r w:rsidRPr="06C2E9BC">
              <w:rPr>
                <w:rFonts w:ascii="Arial" w:eastAsia="Arial" w:hAnsi="Arial" w:cs="Arial"/>
                <w:color w:val="000000" w:themeColor="text1"/>
                <w:sz w:val="20"/>
                <w:szCs w:val="20"/>
              </w:rPr>
              <w:t>The numbering of sections skips from d. Security of Student Data to g. Quality of Work Products and Commitment to Reducing the Burden on School Districts. Please confirm there are no requirements e and f.</w:t>
            </w:r>
          </w:p>
        </w:tc>
        <w:tc>
          <w:tcPr>
            <w:tcW w:w="4410" w:type="dxa"/>
            <w:tcMar>
              <w:top w:w="15" w:type="dxa"/>
              <w:left w:w="15" w:type="dxa"/>
              <w:right w:w="15" w:type="dxa"/>
            </w:tcMar>
            <w:vAlign w:val="center"/>
          </w:tcPr>
          <w:p w14:paraId="11DDA812" w14:textId="67A52AC2" w:rsidR="06C2E9BC" w:rsidRDefault="06C2E9BC" w:rsidP="06C2E9BC">
            <w:pPr>
              <w:spacing w:after="0"/>
            </w:pPr>
            <w:r w:rsidRPr="06C2E9BC">
              <w:rPr>
                <w:rFonts w:ascii="Arial" w:eastAsia="Arial" w:hAnsi="Arial" w:cs="Arial"/>
                <w:color w:val="000000" w:themeColor="text1"/>
                <w:sz w:val="20"/>
                <w:szCs w:val="20"/>
              </w:rPr>
              <w:t>Confirmed - there are no requirements e and f</w:t>
            </w:r>
          </w:p>
        </w:tc>
      </w:tr>
      <w:tr w:rsidR="06C2E9BC" w14:paraId="49C92D30" w14:textId="77777777" w:rsidTr="4A3C5668">
        <w:trPr>
          <w:trHeight w:val="1380"/>
        </w:trPr>
        <w:tc>
          <w:tcPr>
            <w:tcW w:w="4950" w:type="dxa"/>
            <w:tcMar>
              <w:top w:w="15" w:type="dxa"/>
              <w:left w:w="15" w:type="dxa"/>
              <w:right w:w="15" w:type="dxa"/>
            </w:tcMar>
            <w:vAlign w:val="center"/>
          </w:tcPr>
          <w:p w14:paraId="36E62931" w14:textId="52C86DE8" w:rsidR="06C2E9BC" w:rsidRDefault="06C2E9BC" w:rsidP="06C2E9BC">
            <w:pPr>
              <w:spacing w:after="0"/>
            </w:pPr>
            <w:r w:rsidRPr="06C2E9BC">
              <w:rPr>
                <w:rFonts w:ascii="Arial" w:eastAsia="Arial" w:hAnsi="Arial" w:cs="Arial"/>
                <w:color w:val="000000" w:themeColor="text1"/>
                <w:sz w:val="20"/>
                <w:szCs w:val="20"/>
              </w:rPr>
              <w:t>The requirement to provide “an indication of the internal quality-assurance checks applied to work products” and the “name and title of each reviewer” is not part of the current contract for the Nebraska College Entrance Exam and seems counter to the request to require a “standardized off-the-shelf” assessment. Please clarify if there are specific deliverables this applies to or if it can be omitted given this is an off-the-shelf product.</w:t>
            </w:r>
          </w:p>
        </w:tc>
        <w:tc>
          <w:tcPr>
            <w:tcW w:w="4410" w:type="dxa"/>
            <w:tcMar>
              <w:top w:w="15" w:type="dxa"/>
              <w:left w:w="15" w:type="dxa"/>
              <w:right w:w="15" w:type="dxa"/>
            </w:tcMar>
            <w:vAlign w:val="center"/>
          </w:tcPr>
          <w:p w14:paraId="10E1CD7B" w14:textId="21B9CA08" w:rsidR="06C2E9BC" w:rsidRDefault="06C2E9BC" w:rsidP="06C2E9BC">
            <w:pPr>
              <w:spacing w:after="0"/>
            </w:pPr>
            <w:r w:rsidRPr="06C2E9BC">
              <w:rPr>
                <w:rFonts w:ascii="Arial" w:eastAsia="Arial" w:hAnsi="Arial" w:cs="Arial"/>
                <w:color w:val="000000" w:themeColor="text1"/>
                <w:sz w:val="20"/>
                <w:szCs w:val="20"/>
              </w:rPr>
              <w:t xml:space="preserve">This pertains to VII. DELIVERABLES pg. 61 </w:t>
            </w:r>
            <w:proofErr w:type="gramStart"/>
            <w:r w:rsidRPr="06C2E9BC">
              <w:rPr>
                <w:rFonts w:ascii="Arial" w:eastAsia="Arial" w:hAnsi="Arial" w:cs="Arial"/>
                <w:color w:val="000000" w:themeColor="text1"/>
                <w:sz w:val="20"/>
                <w:szCs w:val="20"/>
              </w:rPr>
              <w:t>A.Documentation</w:t>
            </w:r>
            <w:proofErr w:type="gramEnd"/>
          </w:p>
        </w:tc>
      </w:tr>
      <w:tr w:rsidR="06C2E9BC" w14:paraId="7DA19AA7" w14:textId="77777777" w:rsidTr="4A3C5668">
        <w:trPr>
          <w:trHeight w:val="1170"/>
        </w:trPr>
        <w:tc>
          <w:tcPr>
            <w:tcW w:w="4950" w:type="dxa"/>
            <w:tcMar>
              <w:top w:w="15" w:type="dxa"/>
              <w:left w:w="15" w:type="dxa"/>
              <w:right w:w="15" w:type="dxa"/>
            </w:tcMar>
            <w:vAlign w:val="center"/>
          </w:tcPr>
          <w:p w14:paraId="697D8B37" w14:textId="78037CFD" w:rsidR="06C2E9BC" w:rsidRDefault="06C2E9BC" w:rsidP="06C2E9BC">
            <w:pPr>
              <w:spacing w:after="0"/>
            </w:pPr>
            <w:r w:rsidRPr="06C2E9BC">
              <w:rPr>
                <w:rFonts w:ascii="Arial" w:eastAsia="Arial" w:hAnsi="Arial" w:cs="Arial"/>
                <w:color w:val="000000" w:themeColor="text1"/>
                <w:sz w:val="20"/>
                <w:szCs w:val="20"/>
              </w:rPr>
              <w:t xml:space="preserve">Where there are disconnects between the instructions for organizing the proposal and more detailed requirements, can bidders use the detailed requirements for organizing their response? For example, on page 50 it lists the following sub-headings under Assessment Design, but only Assessment Frameworks is included under Assessment Design on page 53. The other sub-headings are addressed in later requirements. </w:t>
            </w:r>
          </w:p>
        </w:tc>
        <w:tc>
          <w:tcPr>
            <w:tcW w:w="4410" w:type="dxa"/>
            <w:tcMar>
              <w:top w:w="15" w:type="dxa"/>
              <w:left w:w="15" w:type="dxa"/>
              <w:right w:w="15" w:type="dxa"/>
            </w:tcMar>
            <w:vAlign w:val="center"/>
          </w:tcPr>
          <w:p w14:paraId="5F024593" w14:textId="6B19E3E2" w:rsidR="06C2E9BC" w:rsidRDefault="06C2E9BC" w:rsidP="06C2E9BC">
            <w:pPr>
              <w:spacing w:after="0"/>
            </w:pPr>
            <w:r w:rsidRPr="06C2E9BC">
              <w:rPr>
                <w:rFonts w:ascii="Arial" w:eastAsia="Arial" w:hAnsi="Arial" w:cs="Arial"/>
                <w:color w:val="000000" w:themeColor="text1"/>
                <w:sz w:val="20"/>
                <w:szCs w:val="20"/>
              </w:rPr>
              <w:t xml:space="preserve">The organization of the proposal is detailed under F. Scope of Work, 2. Proposal </w:t>
            </w:r>
            <w:proofErr w:type="gramStart"/>
            <w:r w:rsidRPr="06C2E9BC">
              <w:rPr>
                <w:rFonts w:ascii="Arial" w:eastAsia="Arial" w:hAnsi="Arial" w:cs="Arial"/>
                <w:color w:val="000000" w:themeColor="text1"/>
                <w:sz w:val="20"/>
                <w:szCs w:val="20"/>
              </w:rPr>
              <w:t>Organization.(</w:t>
            </w:r>
            <w:proofErr w:type="gramEnd"/>
            <w:r w:rsidRPr="06C2E9BC">
              <w:rPr>
                <w:rFonts w:ascii="Arial" w:eastAsia="Arial" w:hAnsi="Arial" w:cs="Arial"/>
                <w:color w:val="000000" w:themeColor="text1"/>
                <w:sz w:val="20"/>
                <w:szCs w:val="20"/>
              </w:rPr>
              <w:t>pg 60-61). On pg 96-97 are additional requirements that inform bidders on how to prepare the Corporate Overview, Technical Response &amp; Cost Sheet.</w:t>
            </w:r>
          </w:p>
        </w:tc>
      </w:tr>
      <w:tr w:rsidR="06C2E9BC" w14:paraId="767CAF84" w14:textId="77777777" w:rsidTr="4A3C5668">
        <w:trPr>
          <w:trHeight w:val="930"/>
        </w:trPr>
        <w:tc>
          <w:tcPr>
            <w:tcW w:w="4950" w:type="dxa"/>
            <w:tcMar>
              <w:top w:w="15" w:type="dxa"/>
              <w:left w:w="15" w:type="dxa"/>
              <w:right w:w="15" w:type="dxa"/>
            </w:tcMar>
            <w:vAlign w:val="center"/>
          </w:tcPr>
          <w:p w14:paraId="2849F9FD" w14:textId="7A42192E" w:rsidR="06C2E9BC" w:rsidRDefault="06C2E9BC" w:rsidP="06C2E9BC">
            <w:pPr>
              <w:spacing w:after="0"/>
            </w:pPr>
            <w:r w:rsidRPr="06C2E9BC">
              <w:rPr>
                <w:rFonts w:ascii="Arial" w:eastAsia="Arial" w:hAnsi="Arial" w:cs="Arial"/>
                <w:color w:val="000000" w:themeColor="text1"/>
                <w:sz w:val="20"/>
                <w:szCs w:val="20"/>
              </w:rPr>
              <w:t>On page 50 of 85, Interaction Studies is listed as a heading under Item Development, however there are not any other references to “interaction studies” elsewhere in the RFP. Should this heading and requirement be deleted? If not, what is the desired scope and purpose of the interaction studies?</w:t>
            </w:r>
          </w:p>
        </w:tc>
        <w:tc>
          <w:tcPr>
            <w:tcW w:w="4410" w:type="dxa"/>
            <w:tcMar>
              <w:top w:w="15" w:type="dxa"/>
              <w:left w:w="15" w:type="dxa"/>
              <w:right w:w="15" w:type="dxa"/>
            </w:tcMar>
            <w:vAlign w:val="center"/>
          </w:tcPr>
          <w:p w14:paraId="405CDD69" w14:textId="4EF4BB47" w:rsidR="06C2E9BC" w:rsidRDefault="06C2E9BC" w:rsidP="06C2E9BC">
            <w:pPr>
              <w:spacing w:after="0"/>
            </w:pPr>
            <w:r w:rsidRPr="06C2E9BC">
              <w:rPr>
                <w:rFonts w:ascii="Arial" w:eastAsia="Arial" w:hAnsi="Arial" w:cs="Arial"/>
                <w:color w:val="000000" w:themeColor="text1"/>
                <w:sz w:val="20"/>
                <w:szCs w:val="20"/>
              </w:rPr>
              <w:t xml:space="preserve">This was removed from the RFP and is reflected in the new revised version. </w:t>
            </w:r>
          </w:p>
        </w:tc>
      </w:tr>
      <w:tr w:rsidR="06C2E9BC" w14:paraId="753F40FD" w14:textId="77777777" w:rsidTr="4A3C5668">
        <w:trPr>
          <w:trHeight w:val="705"/>
        </w:trPr>
        <w:tc>
          <w:tcPr>
            <w:tcW w:w="4950" w:type="dxa"/>
            <w:tcMar>
              <w:top w:w="15" w:type="dxa"/>
              <w:left w:w="15" w:type="dxa"/>
              <w:right w:w="15" w:type="dxa"/>
            </w:tcMar>
            <w:vAlign w:val="center"/>
          </w:tcPr>
          <w:p w14:paraId="22BE54B6" w14:textId="5374141D" w:rsidR="06C2E9BC" w:rsidRDefault="06C2E9BC" w:rsidP="06C2E9BC">
            <w:pPr>
              <w:spacing w:after="0"/>
            </w:pPr>
            <w:r w:rsidRPr="06C2E9BC">
              <w:rPr>
                <w:rFonts w:ascii="Arial" w:eastAsia="Arial" w:hAnsi="Arial" w:cs="Arial"/>
                <w:color w:val="000000" w:themeColor="text1"/>
                <w:sz w:val="20"/>
                <w:szCs w:val="20"/>
              </w:rPr>
              <w:t xml:space="preserve">Reporting Training is listed as a deliverable on page </w:t>
            </w:r>
            <w:proofErr w:type="gramStart"/>
            <w:r w:rsidRPr="06C2E9BC">
              <w:rPr>
                <w:rFonts w:ascii="Arial" w:eastAsia="Arial" w:hAnsi="Arial" w:cs="Arial"/>
                <w:color w:val="000000" w:themeColor="text1"/>
                <w:sz w:val="20"/>
                <w:szCs w:val="20"/>
              </w:rPr>
              <w:t>51,</w:t>
            </w:r>
            <w:proofErr w:type="gramEnd"/>
            <w:r w:rsidRPr="06C2E9BC">
              <w:rPr>
                <w:rFonts w:ascii="Arial" w:eastAsia="Arial" w:hAnsi="Arial" w:cs="Arial"/>
                <w:color w:val="000000" w:themeColor="text1"/>
                <w:sz w:val="20"/>
                <w:szCs w:val="20"/>
              </w:rPr>
              <w:t xml:space="preserve"> however it is a heading only. There are no other references to “Reporting Training” in the RFP. Please clarify what the requirements are for the deliverable Reporting Training.</w:t>
            </w:r>
          </w:p>
        </w:tc>
        <w:tc>
          <w:tcPr>
            <w:tcW w:w="4410" w:type="dxa"/>
            <w:tcMar>
              <w:top w:w="15" w:type="dxa"/>
              <w:left w:w="15" w:type="dxa"/>
              <w:right w:w="15" w:type="dxa"/>
            </w:tcMar>
            <w:vAlign w:val="center"/>
          </w:tcPr>
          <w:p w14:paraId="6277BFE8" w14:textId="78A2BB8F" w:rsidR="06C2E9BC" w:rsidRDefault="06C2E9BC" w:rsidP="06C2E9BC">
            <w:pPr>
              <w:spacing w:after="0"/>
            </w:pPr>
            <w:r w:rsidRPr="06C2E9BC">
              <w:rPr>
                <w:rFonts w:ascii="Arial" w:eastAsia="Arial" w:hAnsi="Arial" w:cs="Arial"/>
                <w:color w:val="000000" w:themeColor="text1"/>
                <w:sz w:val="20"/>
                <w:szCs w:val="20"/>
              </w:rPr>
              <w:t>Requirements: any professional development/training provided to educators, students, parents to understand reports</w:t>
            </w:r>
          </w:p>
        </w:tc>
      </w:tr>
      <w:tr w:rsidR="06C2E9BC" w14:paraId="418E4586" w14:textId="77777777" w:rsidTr="4A3C5668">
        <w:trPr>
          <w:trHeight w:val="1170"/>
        </w:trPr>
        <w:tc>
          <w:tcPr>
            <w:tcW w:w="4950" w:type="dxa"/>
            <w:tcMar>
              <w:top w:w="15" w:type="dxa"/>
              <w:left w:w="15" w:type="dxa"/>
              <w:right w:w="15" w:type="dxa"/>
            </w:tcMar>
            <w:vAlign w:val="center"/>
          </w:tcPr>
          <w:p w14:paraId="4788A5BD" w14:textId="67FC63A3" w:rsidR="06C2E9BC" w:rsidRDefault="06C2E9BC" w:rsidP="06C2E9BC">
            <w:pPr>
              <w:spacing w:after="0"/>
            </w:pPr>
            <w:r w:rsidRPr="06C2E9BC">
              <w:rPr>
                <w:rFonts w:ascii="Arial" w:eastAsia="Arial" w:hAnsi="Arial" w:cs="Arial"/>
                <w:color w:val="000000" w:themeColor="text1"/>
                <w:sz w:val="20"/>
                <w:szCs w:val="20"/>
              </w:rPr>
              <w:lastRenderedPageBreak/>
              <w:t>Can NDE identify the federal requirements and best practices for test security that bidders are required to meet? Are these requirements related specifically to IT security?</w:t>
            </w:r>
          </w:p>
        </w:tc>
        <w:tc>
          <w:tcPr>
            <w:tcW w:w="4410" w:type="dxa"/>
            <w:tcMar>
              <w:top w:w="15" w:type="dxa"/>
              <w:left w:w="15" w:type="dxa"/>
              <w:right w:w="15" w:type="dxa"/>
            </w:tcMar>
            <w:vAlign w:val="center"/>
          </w:tcPr>
          <w:p w14:paraId="492713DC" w14:textId="7C6CC314" w:rsidR="06C2E9BC" w:rsidRDefault="06C2E9BC" w:rsidP="06C2E9BC">
            <w:pPr>
              <w:spacing w:after="0"/>
            </w:pPr>
            <w:r w:rsidRPr="06C2E9BC">
              <w:rPr>
                <w:rFonts w:ascii="Arial" w:eastAsia="Arial" w:hAnsi="Arial" w:cs="Arial"/>
                <w:color w:val="000000" w:themeColor="text1"/>
                <w:sz w:val="20"/>
                <w:szCs w:val="20"/>
              </w:rPr>
              <w:t>Best practices include, but are not limited to, policy &amp; training measures, physical &amp; digital security, proctoring &amp; monitoring, identity verification, and auditing &amp; response measures. These requirements are related to IT security, but includes other measures as noted.</w:t>
            </w:r>
          </w:p>
        </w:tc>
      </w:tr>
      <w:tr w:rsidR="06C2E9BC" w14:paraId="544D80C2" w14:textId="77777777" w:rsidTr="4A3C5668">
        <w:trPr>
          <w:trHeight w:val="930"/>
        </w:trPr>
        <w:tc>
          <w:tcPr>
            <w:tcW w:w="4950" w:type="dxa"/>
            <w:tcMar>
              <w:top w:w="15" w:type="dxa"/>
              <w:left w:w="15" w:type="dxa"/>
              <w:right w:w="15" w:type="dxa"/>
            </w:tcMar>
            <w:vAlign w:val="center"/>
          </w:tcPr>
          <w:p w14:paraId="40103368" w14:textId="29A8C230" w:rsidR="06C2E9BC" w:rsidRDefault="06C2E9BC" w:rsidP="06C2E9BC">
            <w:pPr>
              <w:spacing w:after="0"/>
            </w:pPr>
            <w:r w:rsidRPr="06C2E9BC">
              <w:rPr>
                <w:rFonts w:ascii="Arial" w:eastAsia="Arial" w:hAnsi="Arial" w:cs="Arial"/>
                <w:color w:val="000000" w:themeColor="text1"/>
                <w:sz w:val="20"/>
                <w:szCs w:val="20"/>
              </w:rPr>
              <w:t>Please clarify if the second paragraph under 7. Professional Learning/Professional Development (regarding reviewing and revising manuals) belongs under 6. Manuals instead of as part of the response to professional learning.</w:t>
            </w:r>
          </w:p>
        </w:tc>
        <w:tc>
          <w:tcPr>
            <w:tcW w:w="4410" w:type="dxa"/>
            <w:tcMar>
              <w:top w:w="15" w:type="dxa"/>
              <w:left w:w="15" w:type="dxa"/>
              <w:right w:w="15" w:type="dxa"/>
            </w:tcMar>
            <w:vAlign w:val="center"/>
          </w:tcPr>
          <w:p w14:paraId="45EEB185" w14:textId="04849394" w:rsidR="06C2E9BC" w:rsidRDefault="06C2E9BC" w:rsidP="06C2E9BC">
            <w:pPr>
              <w:spacing w:after="0"/>
            </w:pPr>
            <w:r w:rsidRPr="06C2E9BC">
              <w:rPr>
                <w:rFonts w:ascii="Arial" w:eastAsia="Arial" w:hAnsi="Arial" w:cs="Arial"/>
                <w:color w:val="000000" w:themeColor="text1"/>
                <w:sz w:val="20"/>
                <w:szCs w:val="20"/>
              </w:rPr>
              <w:t>Confirm: The second paragraph "Bidder should outline the process for reviewing and revising the manuals...available to Nebraska educators." should be placed under 6. Manuals. Revison made</w:t>
            </w:r>
          </w:p>
        </w:tc>
      </w:tr>
      <w:tr w:rsidR="06C2E9BC" w14:paraId="0B8FC73D" w14:textId="77777777" w:rsidTr="4A3C5668">
        <w:trPr>
          <w:trHeight w:val="930"/>
        </w:trPr>
        <w:tc>
          <w:tcPr>
            <w:tcW w:w="4950" w:type="dxa"/>
            <w:tcMar>
              <w:top w:w="15" w:type="dxa"/>
              <w:left w:w="15" w:type="dxa"/>
              <w:right w:w="15" w:type="dxa"/>
            </w:tcMar>
            <w:vAlign w:val="center"/>
          </w:tcPr>
          <w:p w14:paraId="55DB9328" w14:textId="74860106" w:rsidR="06C2E9BC" w:rsidRDefault="06C2E9BC" w:rsidP="06C2E9BC">
            <w:pPr>
              <w:spacing w:after="0"/>
            </w:pPr>
            <w:r w:rsidRPr="06C2E9BC">
              <w:rPr>
                <w:rFonts w:ascii="Arial" w:eastAsia="Arial" w:hAnsi="Arial" w:cs="Arial"/>
                <w:color w:val="000000" w:themeColor="text1"/>
                <w:sz w:val="20"/>
                <w:szCs w:val="20"/>
              </w:rPr>
              <w:t>The RFP requires the two copies of the Individual Student Reports to be delivered to each district’s central office for distribution by the district to the appropriate school. To expedite getting the reports to schools, would NDE prefer shipment directly to schools instead of to the district, as is done for the current program?</w:t>
            </w:r>
          </w:p>
        </w:tc>
        <w:tc>
          <w:tcPr>
            <w:tcW w:w="4410" w:type="dxa"/>
            <w:tcMar>
              <w:top w:w="15" w:type="dxa"/>
              <w:left w:w="15" w:type="dxa"/>
              <w:right w:w="15" w:type="dxa"/>
            </w:tcMar>
            <w:vAlign w:val="center"/>
          </w:tcPr>
          <w:p w14:paraId="010CDB2B" w14:textId="0E281DA7" w:rsidR="06C2E9BC" w:rsidRDefault="06C2E9BC" w:rsidP="06C2E9BC">
            <w:pPr>
              <w:spacing w:after="0"/>
            </w:pPr>
            <w:r w:rsidRPr="06C2E9BC">
              <w:rPr>
                <w:rFonts w:ascii="Arial" w:eastAsia="Arial" w:hAnsi="Arial" w:cs="Arial"/>
                <w:color w:val="000000" w:themeColor="text1"/>
                <w:sz w:val="20"/>
                <w:szCs w:val="20"/>
              </w:rPr>
              <w:t>Yes, ship the reports to schools</w:t>
            </w:r>
          </w:p>
        </w:tc>
      </w:tr>
      <w:tr w:rsidR="06C2E9BC" w14:paraId="4B28A02A" w14:textId="77777777" w:rsidTr="4A3C5668">
        <w:trPr>
          <w:trHeight w:val="1170"/>
        </w:trPr>
        <w:tc>
          <w:tcPr>
            <w:tcW w:w="4950" w:type="dxa"/>
            <w:tcMar>
              <w:top w:w="15" w:type="dxa"/>
              <w:left w:w="15" w:type="dxa"/>
              <w:right w:w="15" w:type="dxa"/>
            </w:tcMar>
            <w:vAlign w:val="center"/>
          </w:tcPr>
          <w:p w14:paraId="63A8882C" w14:textId="1C564ADB" w:rsidR="06C2E9BC" w:rsidRDefault="06C2E9BC" w:rsidP="06C2E9BC">
            <w:pPr>
              <w:spacing w:after="0"/>
            </w:pPr>
            <w:r w:rsidRPr="06C2E9BC">
              <w:rPr>
                <w:rFonts w:ascii="Arial" w:eastAsia="Arial" w:hAnsi="Arial" w:cs="Arial"/>
                <w:color w:val="000000" w:themeColor="text1"/>
                <w:sz w:val="20"/>
                <w:szCs w:val="20"/>
              </w:rPr>
              <w:t>Please clarify how the preliminary student results will be used and whether multiple-choice and writing scores are expected to be included in the preliminary scores.</w:t>
            </w:r>
          </w:p>
        </w:tc>
        <w:tc>
          <w:tcPr>
            <w:tcW w:w="4410" w:type="dxa"/>
            <w:tcMar>
              <w:top w:w="15" w:type="dxa"/>
              <w:left w:w="15" w:type="dxa"/>
              <w:right w:w="15" w:type="dxa"/>
            </w:tcMar>
            <w:vAlign w:val="center"/>
          </w:tcPr>
          <w:p w14:paraId="77223DC1" w14:textId="100FBCF9" w:rsidR="06C2E9BC" w:rsidRDefault="06C2E9BC" w:rsidP="06C2E9BC">
            <w:pPr>
              <w:spacing w:after="0"/>
            </w:pPr>
            <w:r w:rsidRPr="06C2E9BC">
              <w:rPr>
                <w:rFonts w:ascii="Arial" w:eastAsia="Arial" w:hAnsi="Arial" w:cs="Arial"/>
                <w:color w:val="000000" w:themeColor="text1"/>
                <w:sz w:val="20"/>
                <w:szCs w:val="20"/>
              </w:rPr>
              <w:t xml:space="preserve">Preliminary student results will be used to inform students of their scores on each subtest. Writing scores are not expected to be included in the preliminary scores. If preliminary scores are not possible, the bidder will provide a timeline for when scores would be available. </w:t>
            </w:r>
          </w:p>
        </w:tc>
      </w:tr>
      <w:tr w:rsidR="00C45319" w14:paraId="5DE25EFD" w14:textId="77777777" w:rsidTr="4A3C5668">
        <w:trPr>
          <w:trHeight w:val="1170"/>
        </w:trPr>
        <w:tc>
          <w:tcPr>
            <w:tcW w:w="4950" w:type="dxa"/>
            <w:tcMar>
              <w:top w:w="15" w:type="dxa"/>
              <w:left w:w="15" w:type="dxa"/>
              <w:right w:w="15" w:type="dxa"/>
            </w:tcMar>
            <w:vAlign w:val="center"/>
          </w:tcPr>
          <w:p w14:paraId="0AD0E209" w14:textId="77777777" w:rsidR="009373E8" w:rsidRDefault="009373E8" w:rsidP="009373E8">
            <w:pPr>
              <w:rPr>
                <w:rFonts w:ascii="Arial" w:hAnsi="Arial" w:cs="Arial"/>
                <w:color w:val="000000"/>
                <w:sz w:val="20"/>
                <w:szCs w:val="20"/>
              </w:rPr>
            </w:pPr>
            <w:r>
              <w:rPr>
                <w:rFonts w:ascii="Arial" w:hAnsi="Arial" w:cs="Arial"/>
                <w:color w:val="000000"/>
                <w:sz w:val="20"/>
                <w:szCs w:val="20"/>
              </w:rPr>
              <w:t>Is the list of deliverables on page 79 and 80 informational only, or how should bidders incorporate this into their response?</w:t>
            </w:r>
          </w:p>
          <w:p w14:paraId="7CC9D5E3" w14:textId="77777777" w:rsidR="00C45319" w:rsidRPr="06C2E9BC" w:rsidRDefault="00C45319" w:rsidP="06C2E9BC">
            <w:pPr>
              <w:spacing w:after="0"/>
              <w:rPr>
                <w:rFonts w:ascii="Arial" w:eastAsia="Arial" w:hAnsi="Arial" w:cs="Arial"/>
                <w:color w:val="000000" w:themeColor="text1"/>
                <w:sz w:val="20"/>
                <w:szCs w:val="20"/>
              </w:rPr>
            </w:pPr>
          </w:p>
        </w:tc>
        <w:tc>
          <w:tcPr>
            <w:tcW w:w="4410" w:type="dxa"/>
            <w:tcMar>
              <w:top w:w="15" w:type="dxa"/>
              <w:left w:w="15" w:type="dxa"/>
              <w:right w:w="15" w:type="dxa"/>
            </w:tcMar>
            <w:vAlign w:val="center"/>
          </w:tcPr>
          <w:p w14:paraId="5558BF52" w14:textId="77777777" w:rsidR="0082118A" w:rsidRDefault="0082118A" w:rsidP="0082118A">
            <w:pPr>
              <w:rPr>
                <w:rFonts w:ascii="Arial" w:hAnsi="Arial" w:cs="Arial"/>
                <w:color w:val="000000"/>
                <w:sz w:val="20"/>
                <w:szCs w:val="20"/>
              </w:rPr>
            </w:pPr>
            <w:r>
              <w:rPr>
                <w:rFonts w:ascii="Arial" w:hAnsi="Arial" w:cs="Arial"/>
                <w:color w:val="000000"/>
                <w:sz w:val="20"/>
                <w:szCs w:val="20"/>
              </w:rPr>
              <w:t xml:space="preserve">The deliverables table is a collection of deliverables identified throughout the RFP. It is a resource to bidders and is not expected to be included in the proposal. </w:t>
            </w:r>
          </w:p>
          <w:p w14:paraId="661F67EA" w14:textId="77777777" w:rsidR="00C45319" w:rsidRPr="06C2E9BC" w:rsidRDefault="00C45319" w:rsidP="06C2E9BC">
            <w:pPr>
              <w:spacing w:after="0"/>
              <w:rPr>
                <w:rFonts w:ascii="Arial" w:eastAsia="Arial" w:hAnsi="Arial" w:cs="Arial"/>
                <w:color w:val="000000" w:themeColor="text1"/>
                <w:sz w:val="20"/>
                <w:szCs w:val="20"/>
              </w:rPr>
            </w:pPr>
          </w:p>
        </w:tc>
      </w:tr>
      <w:tr w:rsidR="00C45319" w14:paraId="71F3A4C2" w14:textId="77777777" w:rsidTr="4A3C5668">
        <w:trPr>
          <w:trHeight w:val="1170"/>
        </w:trPr>
        <w:tc>
          <w:tcPr>
            <w:tcW w:w="4950" w:type="dxa"/>
            <w:tcMar>
              <w:top w:w="15" w:type="dxa"/>
              <w:left w:w="15" w:type="dxa"/>
              <w:right w:w="15" w:type="dxa"/>
            </w:tcMar>
            <w:vAlign w:val="center"/>
          </w:tcPr>
          <w:p w14:paraId="51A4CD7B" w14:textId="77777777" w:rsidR="0082118A" w:rsidRDefault="0082118A" w:rsidP="0082118A">
            <w:pPr>
              <w:rPr>
                <w:rFonts w:ascii="Arial" w:hAnsi="Arial" w:cs="Arial"/>
                <w:color w:val="000000"/>
                <w:sz w:val="20"/>
                <w:szCs w:val="20"/>
              </w:rPr>
            </w:pPr>
            <w:r>
              <w:rPr>
                <w:rFonts w:ascii="Arial" w:hAnsi="Arial" w:cs="Arial"/>
                <w:color w:val="000000"/>
                <w:sz w:val="20"/>
                <w:szCs w:val="20"/>
              </w:rPr>
              <w:t>Please clarify which third party will be responsible for performing credit checks and confirm that NDE is responsible for the cost of credit checks.</w:t>
            </w:r>
          </w:p>
          <w:p w14:paraId="25A93DF9" w14:textId="77777777" w:rsidR="00C45319" w:rsidRPr="06C2E9BC" w:rsidRDefault="00C45319" w:rsidP="06C2E9BC">
            <w:pPr>
              <w:spacing w:after="0"/>
              <w:rPr>
                <w:rFonts w:ascii="Arial" w:eastAsia="Arial" w:hAnsi="Arial" w:cs="Arial"/>
                <w:color w:val="000000" w:themeColor="text1"/>
                <w:sz w:val="20"/>
                <w:szCs w:val="20"/>
              </w:rPr>
            </w:pPr>
          </w:p>
        </w:tc>
        <w:tc>
          <w:tcPr>
            <w:tcW w:w="4410" w:type="dxa"/>
            <w:tcMar>
              <w:top w:w="15" w:type="dxa"/>
              <w:left w:w="15" w:type="dxa"/>
              <w:right w:w="15" w:type="dxa"/>
            </w:tcMar>
            <w:vAlign w:val="center"/>
          </w:tcPr>
          <w:p w14:paraId="0F0E331F" w14:textId="77777777" w:rsidR="0082118A" w:rsidRDefault="0082118A" w:rsidP="0082118A">
            <w:pPr>
              <w:rPr>
                <w:rFonts w:ascii="Arial" w:hAnsi="Arial" w:cs="Arial"/>
                <w:color w:val="000000"/>
                <w:sz w:val="20"/>
                <w:szCs w:val="20"/>
              </w:rPr>
            </w:pPr>
            <w:r>
              <w:rPr>
                <w:rFonts w:ascii="Arial" w:hAnsi="Arial" w:cs="Arial"/>
                <w:color w:val="000000"/>
                <w:sz w:val="20"/>
                <w:szCs w:val="20"/>
              </w:rPr>
              <w:t xml:space="preserve">NDE reserves the right to perform credit checks it deems necessary, and the discretion to choose the third-party credit agency. The cost of these checks will be the responsibility of NDE unless otherwise stated in the RFP. </w:t>
            </w:r>
          </w:p>
          <w:p w14:paraId="68BB3BD7" w14:textId="77777777" w:rsidR="00C45319" w:rsidRPr="06C2E9BC" w:rsidRDefault="00C45319" w:rsidP="06C2E9BC">
            <w:pPr>
              <w:spacing w:after="0"/>
              <w:rPr>
                <w:rFonts w:ascii="Arial" w:eastAsia="Arial" w:hAnsi="Arial" w:cs="Arial"/>
                <w:color w:val="000000" w:themeColor="text1"/>
                <w:sz w:val="20"/>
                <w:szCs w:val="20"/>
              </w:rPr>
            </w:pPr>
          </w:p>
        </w:tc>
      </w:tr>
      <w:tr w:rsidR="00C45319" w14:paraId="58F79386" w14:textId="77777777" w:rsidTr="4A3C5668">
        <w:trPr>
          <w:trHeight w:val="1170"/>
        </w:trPr>
        <w:tc>
          <w:tcPr>
            <w:tcW w:w="4950" w:type="dxa"/>
            <w:tcMar>
              <w:top w:w="15" w:type="dxa"/>
              <w:left w:w="15" w:type="dxa"/>
              <w:right w:w="15" w:type="dxa"/>
            </w:tcMar>
            <w:vAlign w:val="center"/>
          </w:tcPr>
          <w:p w14:paraId="54D5F618" w14:textId="77777777" w:rsidR="0082118A" w:rsidRDefault="0082118A" w:rsidP="0082118A">
            <w:pPr>
              <w:rPr>
                <w:rFonts w:ascii="Arial" w:hAnsi="Arial" w:cs="Arial"/>
                <w:color w:val="000000"/>
                <w:sz w:val="20"/>
                <w:szCs w:val="20"/>
              </w:rPr>
            </w:pPr>
            <w:r>
              <w:rPr>
                <w:rFonts w:ascii="Arial" w:hAnsi="Arial" w:cs="Arial"/>
                <w:color w:val="000000"/>
                <w:sz w:val="20"/>
                <w:szCs w:val="20"/>
              </w:rPr>
              <w:t xml:space="preserve">The directions for subsections at the bottom of page 83 does not align with the instructions for headings and numbering on page 50. Will NDE accept the following numbering and headings for the technical response? </w:t>
            </w:r>
          </w:p>
          <w:p w14:paraId="0E16C8FE" w14:textId="362A9629" w:rsidR="00D84DC6" w:rsidRPr="00D84DC6" w:rsidRDefault="00D84DC6" w:rsidP="00D84DC6">
            <w:pPr>
              <w:spacing w:after="0"/>
              <w:rPr>
                <w:rFonts w:ascii="Arial" w:eastAsia="Arial" w:hAnsi="Arial" w:cs="Arial"/>
                <w:color w:val="000000" w:themeColor="text1"/>
                <w:sz w:val="20"/>
                <w:szCs w:val="20"/>
              </w:rPr>
            </w:pPr>
            <w:r w:rsidRPr="00D84DC6">
              <w:rPr>
                <w:rFonts w:ascii="Arial" w:eastAsia="Arial" w:hAnsi="Arial" w:cs="Arial"/>
                <w:color w:val="000000" w:themeColor="text1"/>
                <w:sz w:val="20"/>
                <w:szCs w:val="20"/>
              </w:rPr>
              <w:lastRenderedPageBreak/>
              <w:drawing>
                <wp:inline distT="0" distB="0" distL="0" distR="0" wp14:anchorId="0F71715D" wp14:editId="3EFACA2A">
                  <wp:extent cx="2667000" cy="2181225"/>
                  <wp:effectExtent l="0" t="0" r="0" b="9525"/>
                  <wp:docPr id="1217074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0" cy="2181225"/>
                          </a:xfrm>
                          <a:prstGeom prst="rect">
                            <a:avLst/>
                          </a:prstGeom>
                          <a:noFill/>
                          <a:ln>
                            <a:noFill/>
                          </a:ln>
                        </pic:spPr>
                      </pic:pic>
                    </a:graphicData>
                  </a:graphic>
                </wp:inline>
              </w:drawing>
            </w:r>
          </w:p>
          <w:p w14:paraId="43D0B3A2" w14:textId="77777777" w:rsidR="00C45319" w:rsidRPr="06C2E9BC" w:rsidRDefault="00C45319" w:rsidP="06C2E9BC">
            <w:pPr>
              <w:spacing w:after="0"/>
              <w:rPr>
                <w:rFonts w:ascii="Arial" w:eastAsia="Arial" w:hAnsi="Arial" w:cs="Arial"/>
                <w:color w:val="000000" w:themeColor="text1"/>
                <w:sz w:val="20"/>
                <w:szCs w:val="20"/>
              </w:rPr>
            </w:pPr>
          </w:p>
        </w:tc>
        <w:tc>
          <w:tcPr>
            <w:tcW w:w="4410" w:type="dxa"/>
            <w:tcMar>
              <w:top w:w="15" w:type="dxa"/>
              <w:left w:w="15" w:type="dxa"/>
              <w:right w:w="15" w:type="dxa"/>
            </w:tcMar>
            <w:vAlign w:val="center"/>
          </w:tcPr>
          <w:p w14:paraId="53AFD97D" w14:textId="77777777" w:rsidR="00D84DC6" w:rsidRDefault="00D84DC6" w:rsidP="00D84DC6">
            <w:pPr>
              <w:rPr>
                <w:rFonts w:ascii="Arial" w:hAnsi="Arial" w:cs="Arial"/>
                <w:color w:val="000000"/>
                <w:sz w:val="20"/>
                <w:szCs w:val="20"/>
              </w:rPr>
            </w:pPr>
            <w:r>
              <w:rPr>
                <w:rFonts w:ascii="Arial" w:hAnsi="Arial" w:cs="Arial"/>
                <w:color w:val="000000"/>
                <w:sz w:val="20"/>
                <w:szCs w:val="20"/>
              </w:rPr>
              <w:lastRenderedPageBreak/>
              <w:t>Yes, NDE will accept the numbering and headings for the technical response as indicated in the graphic.</w:t>
            </w:r>
          </w:p>
          <w:p w14:paraId="38881E1A" w14:textId="77777777" w:rsidR="00C45319" w:rsidRPr="06C2E9BC" w:rsidRDefault="00C45319" w:rsidP="06C2E9BC">
            <w:pPr>
              <w:spacing w:after="0"/>
              <w:rPr>
                <w:rFonts w:ascii="Arial" w:eastAsia="Arial" w:hAnsi="Arial" w:cs="Arial"/>
                <w:color w:val="000000" w:themeColor="text1"/>
                <w:sz w:val="20"/>
                <w:szCs w:val="20"/>
              </w:rPr>
            </w:pPr>
          </w:p>
        </w:tc>
      </w:tr>
      <w:tr w:rsidR="00C45319" w14:paraId="51B7B2DF" w14:textId="77777777" w:rsidTr="4A3C5668">
        <w:trPr>
          <w:trHeight w:val="1170"/>
        </w:trPr>
        <w:tc>
          <w:tcPr>
            <w:tcW w:w="4950" w:type="dxa"/>
            <w:tcMar>
              <w:top w:w="15" w:type="dxa"/>
              <w:left w:w="15" w:type="dxa"/>
              <w:right w:w="15" w:type="dxa"/>
            </w:tcMar>
            <w:vAlign w:val="center"/>
          </w:tcPr>
          <w:p w14:paraId="01ED993F" w14:textId="77777777" w:rsidR="00595852" w:rsidRDefault="00595852" w:rsidP="00595852">
            <w:pPr>
              <w:rPr>
                <w:rFonts w:ascii="Arial" w:hAnsi="Arial" w:cs="Arial"/>
                <w:color w:val="000000"/>
                <w:sz w:val="20"/>
                <w:szCs w:val="20"/>
              </w:rPr>
            </w:pPr>
            <w:r>
              <w:rPr>
                <w:rFonts w:ascii="Arial" w:hAnsi="Arial" w:cs="Arial"/>
                <w:color w:val="000000"/>
                <w:sz w:val="20"/>
                <w:szCs w:val="20"/>
              </w:rPr>
              <w:t>What test volumes should bidders assume for each of the five years for the total project costs (line 15) of the Excel? For example, how many students does NDE anticipate will test on paper and online in each year of the contract?</w:t>
            </w:r>
          </w:p>
          <w:p w14:paraId="49ACAE51" w14:textId="77777777" w:rsidR="00C45319" w:rsidRPr="06C2E9BC" w:rsidRDefault="00C45319" w:rsidP="06C2E9BC">
            <w:pPr>
              <w:spacing w:after="0"/>
              <w:rPr>
                <w:rFonts w:ascii="Arial" w:eastAsia="Arial" w:hAnsi="Arial" w:cs="Arial"/>
                <w:color w:val="000000" w:themeColor="text1"/>
                <w:sz w:val="20"/>
                <w:szCs w:val="20"/>
              </w:rPr>
            </w:pPr>
          </w:p>
        </w:tc>
        <w:tc>
          <w:tcPr>
            <w:tcW w:w="4410" w:type="dxa"/>
            <w:tcMar>
              <w:top w:w="15" w:type="dxa"/>
              <w:left w:w="15" w:type="dxa"/>
              <w:right w:w="15" w:type="dxa"/>
            </w:tcMar>
            <w:vAlign w:val="center"/>
          </w:tcPr>
          <w:p w14:paraId="71C95E12" w14:textId="77777777" w:rsidR="00BB4F24" w:rsidRDefault="00BB4F24" w:rsidP="00BB4F24">
            <w:pPr>
              <w:rPr>
                <w:rFonts w:ascii="Arial" w:hAnsi="Arial" w:cs="Arial"/>
                <w:color w:val="000000"/>
                <w:sz w:val="20"/>
                <w:szCs w:val="20"/>
              </w:rPr>
            </w:pPr>
            <w:r>
              <w:rPr>
                <w:rFonts w:ascii="Arial" w:hAnsi="Arial" w:cs="Arial"/>
                <w:color w:val="000000"/>
                <w:sz w:val="20"/>
                <w:szCs w:val="20"/>
              </w:rPr>
              <w:t xml:space="preserve">The trend has been 20% online and 80% paper testing. There may be years when it reaches 25%/75%. Approximations would be 6,250 students online and 18,750 paper. It is not expected that Nebraska would move to majority online.  </w:t>
            </w:r>
          </w:p>
          <w:p w14:paraId="00A8404E" w14:textId="77777777" w:rsidR="00C45319" w:rsidRPr="06C2E9BC" w:rsidRDefault="00C45319" w:rsidP="06C2E9BC">
            <w:pPr>
              <w:spacing w:after="0"/>
              <w:rPr>
                <w:rFonts w:ascii="Arial" w:eastAsia="Arial" w:hAnsi="Arial" w:cs="Arial"/>
                <w:color w:val="000000" w:themeColor="text1"/>
                <w:sz w:val="20"/>
                <w:szCs w:val="20"/>
              </w:rPr>
            </w:pPr>
          </w:p>
        </w:tc>
      </w:tr>
      <w:tr w:rsidR="00C45319" w14:paraId="44C2D160" w14:textId="77777777" w:rsidTr="4A3C5668">
        <w:trPr>
          <w:trHeight w:val="1170"/>
        </w:trPr>
        <w:tc>
          <w:tcPr>
            <w:tcW w:w="4950" w:type="dxa"/>
            <w:tcMar>
              <w:top w:w="15" w:type="dxa"/>
              <w:left w:w="15" w:type="dxa"/>
              <w:right w:w="15" w:type="dxa"/>
            </w:tcMar>
            <w:vAlign w:val="center"/>
          </w:tcPr>
          <w:p w14:paraId="45586D9F" w14:textId="77777777" w:rsidR="00BB4F24" w:rsidRDefault="00BB4F24" w:rsidP="00BB4F24">
            <w:pPr>
              <w:rPr>
                <w:rFonts w:ascii="Arial" w:hAnsi="Arial" w:cs="Arial"/>
                <w:color w:val="000000"/>
                <w:sz w:val="20"/>
                <w:szCs w:val="20"/>
              </w:rPr>
            </w:pPr>
            <w:r>
              <w:rPr>
                <w:rFonts w:ascii="Arial" w:hAnsi="Arial" w:cs="Arial"/>
                <w:color w:val="000000"/>
                <w:sz w:val="20"/>
                <w:szCs w:val="20"/>
              </w:rPr>
              <w:t xml:space="preserve">When determining “best value” as mentioned on page 50 of 85 of the RFP, will NDE be comparing bidder’s base bid (line 15 total project costs) or line 22 (total optional supports/enhancements)? </w:t>
            </w:r>
          </w:p>
          <w:p w14:paraId="2C5FA5F0" w14:textId="77777777" w:rsidR="00C45319" w:rsidRPr="06C2E9BC" w:rsidRDefault="00C45319" w:rsidP="06C2E9BC">
            <w:pPr>
              <w:spacing w:after="0"/>
              <w:rPr>
                <w:rFonts w:ascii="Arial" w:eastAsia="Arial" w:hAnsi="Arial" w:cs="Arial"/>
                <w:color w:val="000000" w:themeColor="text1"/>
                <w:sz w:val="20"/>
                <w:szCs w:val="20"/>
              </w:rPr>
            </w:pPr>
          </w:p>
        </w:tc>
        <w:tc>
          <w:tcPr>
            <w:tcW w:w="4410" w:type="dxa"/>
            <w:tcMar>
              <w:top w:w="15" w:type="dxa"/>
              <w:left w:w="15" w:type="dxa"/>
              <w:right w:w="15" w:type="dxa"/>
            </w:tcMar>
            <w:vAlign w:val="center"/>
          </w:tcPr>
          <w:p w14:paraId="721CAD05" w14:textId="77777777" w:rsidR="00BB4F24" w:rsidRDefault="00BB4F24" w:rsidP="00BB4F24">
            <w:pPr>
              <w:rPr>
                <w:rFonts w:ascii="Arial" w:hAnsi="Arial" w:cs="Arial"/>
                <w:color w:val="000000"/>
                <w:sz w:val="20"/>
                <w:szCs w:val="20"/>
              </w:rPr>
            </w:pPr>
            <w:r>
              <w:rPr>
                <w:rFonts w:ascii="Arial" w:hAnsi="Arial" w:cs="Arial"/>
                <w:color w:val="000000"/>
                <w:sz w:val="20"/>
                <w:szCs w:val="20"/>
              </w:rPr>
              <w:t xml:space="preserve">NDE will compare line 22 </w:t>
            </w:r>
          </w:p>
          <w:p w14:paraId="6C6DA0E8" w14:textId="77777777" w:rsidR="00C45319" w:rsidRPr="06C2E9BC" w:rsidRDefault="00C45319" w:rsidP="06C2E9BC">
            <w:pPr>
              <w:spacing w:after="0"/>
              <w:rPr>
                <w:rFonts w:ascii="Arial" w:eastAsia="Arial" w:hAnsi="Arial" w:cs="Arial"/>
                <w:color w:val="000000" w:themeColor="text1"/>
                <w:sz w:val="20"/>
                <w:szCs w:val="20"/>
              </w:rPr>
            </w:pPr>
          </w:p>
        </w:tc>
      </w:tr>
      <w:tr w:rsidR="00BB4F24" w14:paraId="5F4DA743" w14:textId="77777777" w:rsidTr="4A3C5668">
        <w:trPr>
          <w:trHeight w:val="1170"/>
        </w:trPr>
        <w:tc>
          <w:tcPr>
            <w:tcW w:w="4950" w:type="dxa"/>
            <w:tcMar>
              <w:top w:w="15" w:type="dxa"/>
              <w:left w:w="15" w:type="dxa"/>
              <w:right w:w="15" w:type="dxa"/>
            </w:tcMar>
            <w:vAlign w:val="center"/>
          </w:tcPr>
          <w:p w14:paraId="6C66017E" w14:textId="77777777" w:rsidR="00BB4F24" w:rsidRDefault="00BB4F24" w:rsidP="00BB4F24">
            <w:pPr>
              <w:rPr>
                <w:rFonts w:ascii="Arial" w:hAnsi="Arial" w:cs="Arial"/>
                <w:color w:val="000000"/>
                <w:sz w:val="20"/>
                <w:szCs w:val="20"/>
              </w:rPr>
            </w:pPr>
            <w:r>
              <w:rPr>
                <w:rFonts w:ascii="Arial" w:hAnsi="Arial" w:cs="Arial"/>
                <w:color w:val="000000"/>
                <w:sz w:val="20"/>
                <w:szCs w:val="20"/>
              </w:rPr>
              <w:t>Please clarify if the bottom portion of the form under the heading, “Vendor Communication with NDE Contact Information” will be used by NDE for clarifications and communications regarding the Vendor’s proposal, or if the contact information should reflect the vendor’s point of contact after the contract execution, to ensure we provide the appropriate point of contact.</w:t>
            </w:r>
          </w:p>
          <w:p w14:paraId="42C8F7B0" w14:textId="77777777" w:rsidR="00BB4F24" w:rsidRPr="06C2E9BC" w:rsidRDefault="00BB4F24" w:rsidP="06C2E9BC">
            <w:pPr>
              <w:spacing w:after="0"/>
              <w:rPr>
                <w:rFonts w:ascii="Arial" w:eastAsia="Arial" w:hAnsi="Arial" w:cs="Arial"/>
                <w:color w:val="000000" w:themeColor="text1"/>
                <w:sz w:val="20"/>
                <w:szCs w:val="20"/>
              </w:rPr>
            </w:pPr>
          </w:p>
        </w:tc>
        <w:tc>
          <w:tcPr>
            <w:tcW w:w="4410" w:type="dxa"/>
            <w:tcMar>
              <w:top w:w="15" w:type="dxa"/>
              <w:left w:w="15" w:type="dxa"/>
              <w:right w:w="15" w:type="dxa"/>
            </w:tcMar>
            <w:vAlign w:val="center"/>
          </w:tcPr>
          <w:p w14:paraId="51B123D6" w14:textId="77777777" w:rsidR="003C1288" w:rsidRDefault="003C1288" w:rsidP="003C1288">
            <w:pPr>
              <w:rPr>
                <w:rFonts w:ascii="Arial" w:hAnsi="Arial" w:cs="Arial"/>
                <w:color w:val="000000"/>
                <w:sz w:val="20"/>
                <w:szCs w:val="20"/>
              </w:rPr>
            </w:pPr>
            <w:r>
              <w:rPr>
                <w:rFonts w:ascii="Arial" w:hAnsi="Arial" w:cs="Arial"/>
                <w:color w:val="000000"/>
                <w:sz w:val="20"/>
                <w:szCs w:val="20"/>
              </w:rPr>
              <w:t xml:space="preserve">The contact information will be used by NDE for clarifications and </w:t>
            </w:r>
            <w:proofErr w:type="spellStart"/>
            <w:r>
              <w:rPr>
                <w:rFonts w:ascii="Arial" w:hAnsi="Arial" w:cs="Arial"/>
                <w:color w:val="000000"/>
                <w:sz w:val="20"/>
                <w:szCs w:val="20"/>
              </w:rPr>
              <w:t>communcations</w:t>
            </w:r>
            <w:proofErr w:type="spellEnd"/>
            <w:r>
              <w:rPr>
                <w:rFonts w:ascii="Arial" w:hAnsi="Arial" w:cs="Arial"/>
                <w:color w:val="000000"/>
                <w:sz w:val="20"/>
                <w:szCs w:val="20"/>
              </w:rPr>
              <w:t xml:space="preserve"> regarding the Vendor's proposal. </w:t>
            </w:r>
          </w:p>
          <w:p w14:paraId="32D2E2A5" w14:textId="77777777" w:rsidR="00BB4F24" w:rsidRPr="06C2E9BC" w:rsidRDefault="00BB4F24" w:rsidP="06C2E9BC">
            <w:pPr>
              <w:spacing w:after="0"/>
              <w:rPr>
                <w:rFonts w:ascii="Arial" w:eastAsia="Arial" w:hAnsi="Arial" w:cs="Arial"/>
                <w:color w:val="000000" w:themeColor="text1"/>
                <w:sz w:val="20"/>
                <w:szCs w:val="20"/>
              </w:rPr>
            </w:pPr>
          </w:p>
        </w:tc>
      </w:tr>
      <w:tr w:rsidR="00C45319" w14:paraId="72306D4C" w14:textId="77777777" w:rsidTr="4A3C5668">
        <w:trPr>
          <w:trHeight w:val="1170"/>
        </w:trPr>
        <w:tc>
          <w:tcPr>
            <w:tcW w:w="4950" w:type="dxa"/>
            <w:tcMar>
              <w:top w:w="15" w:type="dxa"/>
              <w:left w:w="15" w:type="dxa"/>
              <w:right w:w="15" w:type="dxa"/>
            </w:tcMar>
            <w:vAlign w:val="center"/>
          </w:tcPr>
          <w:p w14:paraId="33FA85BD" w14:textId="77777777" w:rsidR="003C1288" w:rsidRDefault="003C1288" w:rsidP="003C1288">
            <w:pPr>
              <w:rPr>
                <w:rFonts w:ascii="Arial" w:hAnsi="Arial" w:cs="Arial"/>
                <w:color w:val="000000"/>
                <w:sz w:val="20"/>
                <w:szCs w:val="20"/>
              </w:rPr>
            </w:pPr>
            <w:r>
              <w:rPr>
                <w:rFonts w:ascii="Arial" w:hAnsi="Arial" w:cs="Arial"/>
                <w:color w:val="000000"/>
                <w:sz w:val="20"/>
                <w:szCs w:val="20"/>
              </w:rPr>
              <w:t>What are the requirements for the Retest Request Log?</w:t>
            </w:r>
          </w:p>
          <w:p w14:paraId="7EE3A993" w14:textId="77777777" w:rsidR="00C45319" w:rsidRPr="06C2E9BC" w:rsidRDefault="00C45319" w:rsidP="06C2E9BC">
            <w:pPr>
              <w:spacing w:after="0"/>
              <w:rPr>
                <w:rFonts w:ascii="Arial" w:eastAsia="Arial" w:hAnsi="Arial" w:cs="Arial"/>
                <w:color w:val="000000" w:themeColor="text1"/>
                <w:sz w:val="20"/>
                <w:szCs w:val="20"/>
              </w:rPr>
            </w:pPr>
          </w:p>
        </w:tc>
        <w:tc>
          <w:tcPr>
            <w:tcW w:w="4410" w:type="dxa"/>
            <w:tcMar>
              <w:top w:w="15" w:type="dxa"/>
              <w:left w:w="15" w:type="dxa"/>
              <w:right w:w="15" w:type="dxa"/>
            </w:tcMar>
            <w:vAlign w:val="center"/>
          </w:tcPr>
          <w:p w14:paraId="010F3D45" w14:textId="77777777" w:rsidR="003C1288" w:rsidRDefault="003C1288" w:rsidP="003C1288">
            <w:pPr>
              <w:rPr>
                <w:rFonts w:ascii="Arial" w:hAnsi="Arial" w:cs="Arial"/>
                <w:color w:val="000000"/>
                <w:sz w:val="20"/>
                <w:szCs w:val="20"/>
              </w:rPr>
            </w:pPr>
            <w:r>
              <w:rPr>
                <w:rFonts w:ascii="Arial" w:hAnsi="Arial" w:cs="Arial"/>
                <w:color w:val="000000"/>
                <w:sz w:val="20"/>
                <w:szCs w:val="20"/>
              </w:rPr>
              <w:t>A list of student ID numbers with the date that the test was reset. It can be provided in full at the end of the test event/window.</w:t>
            </w:r>
          </w:p>
          <w:p w14:paraId="7EED5706" w14:textId="77777777" w:rsidR="00C45319" w:rsidRPr="06C2E9BC" w:rsidRDefault="00C45319" w:rsidP="06C2E9BC">
            <w:pPr>
              <w:spacing w:after="0"/>
              <w:rPr>
                <w:rFonts w:ascii="Arial" w:eastAsia="Arial" w:hAnsi="Arial" w:cs="Arial"/>
                <w:color w:val="000000" w:themeColor="text1"/>
                <w:sz w:val="20"/>
                <w:szCs w:val="20"/>
              </w:rPr>
            </w:pPr>
          </w:p>
        </w:tc>
      </w:tr>
      <w:tr w:rsidR="06C2E9BC" w14:paraId="311EA6E4" w14:textId="77777777" w:rsidTr="4A3C5668">
        <w:trPr>
          <w:trHeight w:val="465"/>
        </w:trPr>
        <w:tc>
          <w:tcPr>
            <w:tcW w:w="4950" w:type="dxa"/>
            <w:tcMar>
              <w:top w:w="15" w:type="dxa"/>
              <w:left w:w="15" w:type="dxa"/>
              <w:right w:w="15" w:type="dxa"/>
            </w:tcMar>
            <w:vAlign w:val="center"/>
          </w:tcPr>
          <w:p w14:paraId="31C756F4" w14:textId="63AE7380" w:rsidR="06C2E9BC" w:rsidRDefault="06C2E9BC" w:rsidP="06C2E9BC">
            <w:pPr>
              <w:spacing w:after="0"/>
            </w:pPr>
            <w:r w:rsidRPr="06C2E9BC">
              <w:rPr>
                <w:rFonts w:ascii="Arial" w:eastAsia="Arial" w:hAnsi="Arial" w:cs="Arial"/>
                <w:color w:val="000000" w:themeColor="text1"/>
                <w:sz w:val="20"/>
                <w:szCs w:val="20"/>
              </w:rPr>
              <w:t>The Notification of Intent to Award date is December 6, but that is a Saturday. Will the intent to award be posted on a Saturday, or on Friday, December 5?</w:t>
            </w:r>
          </w:p>
        </w:tc>
        <w:tc>
          <w:tcPr>
            <w:tcW w:w="4410" w:type="dxa"/>
            <w:tcMar>
              <w:top w:w="15" w:type="dxa"/>
              <w:left w:w="15" w:type="dxa"/>
              <w:right w:w="15" w:type="dxa"/>
            </w:tcMar>
            <w:vAlign w:val="center"/>
          </w:tcPr>
          <w:p w14:paraId="1F9EE43A" w14:textId="53565795" w:rsidR="06C2E9BC" w:rsidRDefault="06C2E9BC" w:rsidP="06C2E9BC">
            <w:pPr>
              <w:spacing w:after="0"/>
            </w:pPr>
            <w:r w:rsidRPr="06C2E9BC">
              <w:rPr>
                <w:rFonts w:ascii="Arial" w:eastAsia="Arial" w:hAnsi="Arial" w:cs="Arial"/>
                <w:color w:val="000000" w:themeColor="text1"/>
                <w:sz w:val="20"/>
                <w:szCs w:val="20"/>
              </w:rPr>
              <w:t>The Intenet to Award will be published on December 8th 2025</w:t>
            </w:r>
          </w:p>
        </w:tc>
      </w:tr>
      <w:tr w:rsidR="06C2E9BC" w14:paraId="0567D1FF" w14:textId="77777777" w:rsidTr="4A3C5668">
        <w:trPr>
          <w:trHeight w:val="465"/>
        </w:trPr>
        <w:tc>
          <w:tcPr>
            <w:tcW w:w="4950" w:type="dxa"/>
            <w:tcMar>
              <w:top w:w="15" w:type="dxa"/>
              <w:left w:w="15" w:type="dxa"/>
              <w:right w:w="15" w:type="dxa"/>
            </w:tcMar>
            <w:vAlign w:val="center"/>
          </w:tcPr>
          <w:p w14:paraId="15D7E36F" w14:textId="3B4D37F0" w:rsidR="06C2E9BC" w:rsidRDefault="06C2E9BC" w:rsidP="06C2E9BC">
            <w:pPr>
              <w:spacing w:after="0"/>
            </w:pPr>
            <w:r w:rsidRPr="06C2E9BC">
              <w:rPr>
                <w:rFonts w:ascii="Arial" w:eastAsia="Arial" w:hAnsi="Arial" w:cs="Arial"/>
                <w:color w:val="000000" w:themeColor="text1"/>
                <w:sz w:val="20"/>
                <w:szCs w:val="20"/>
              </w:rPr>
              <w:t>Is it the bidder’s responsibility to attend the zoom call on October 28 at 2pm, as it is not marked as required.</w:t>
            </w:r>
          </w:p>
        </w:tc>
        <w:tc>
          <w:tcPr>
            <w:tcW w:w="4410" w:type="dxa"/>
            <w:tcMar>
              <w:top w:w="15" w:type="dxa"/>
              <w:left w:w="15" w:type="dxa"/>
              <w:right w:w="15" w:type="dxa"/>
            </w:tcMar>
            <w:vAlign w:val="center"/>
          </w:tcPr>
          <w:p w14:paraId="671FC802" w14:textId="6020ECB0" w:rsidR="06C2E9BC" w:rsidRDefault="06C2E9BC" w:rsidP="06C2E9BC">
            <w:pPr>
              <w:spacing w:after="0"/>
            </w:pPr>
            <w:r w:rsidRPr="06C2E9BC">
              <w:rPr>
                <w:rFonts w:ascii="Arial" w:eastAsia="Arial" w:hAnsi="Arial" w:cs="Arial"/>
                <w:color w:val="000000" w:themeColor="text1"/>
                <w:sz w:val="20"/>
                <w:szCs w:val="20"/>
              </w:rPr>
              <w:t>It is not required</w:t>
            </w:r>
          </w:p>
        </w:tc>
      </w:tr>
      <w:tr w:rsidR="06C2E9BC" w14:paraId="76669484" w14:textId="77777777" w:rsidTr="4A3C5668">
        <w:trPr>
          <w:trHeight w:val="1380"/>
        </w:trPr>
        <w:tc>
          <w:tcPr>
            <w:tcW w:w="4950" w:type="dxa"/>
            <w:tcMar>
              <w:top w:w="15" w:type="dxa"/>
              <w:left w:w="15" w:type="dxa"/>
              <w:right w:w="15" w:type="dxa"/>
            </w:tcMar>
            <w:vAlign w:val="center"/>
          </w:tcPr>
          <w:p w14:paraId="616DCEA3" w14:textId="0E382123" w:rsidR="06C2E9BC" w:rsidRDefault="06C2E9BC" w:rsidP="06C2E9BC">
            <w:pPr>
              <w:spacing w:after="0"/>
            </w:pPr>
            <w:r w:rsidRPr="06C2E9BC">
              <w:rPr>
                <w:rFonts w:ascii="Arial" w:eastAsia="Arial" w:hAnsi="Arial" w:cs="Arial"/>
                <w:color w:val="000000" w:themeColor="text1"/>
                <w:sz w:val="20"/>
                <w:szCs w:val="20"/>
              </w:rPr>
              <w:lastRenderedPageBreak/>
              <w:t>It appears that statute refers to “students in the eleventh grade attending a public school in the state,” but the RFP refers to “eligible Third-year Cohort students.” What are the differences between these two groups of students and how will the vendor be able to discriminate?</w:t>
            </w:r>
          </w:p>
        </w:tc>
        <w:tc>
          <w:tcPr>
            <w:tcW w:w="4410" w:type="dxa"/>
            <w:tcMar>
              <w:top w:w="15" w:type="dxa"/>
              <w:left w:w="15" w:type="dxa"/>
              <w:right w:w="15" w:type="dxa"/>
            </w:tcMar>
            <w:vAlign w:val="center"/>
          </w:tcPr>
          <w:p w14:paraId="379E0EE6" w14:textId="08176124" w:rsidR="06C2E9BC" w:rsidRDefault="06C2E9BC" w:rsidP="06C2E9BC">
            <w:pPr>
              <w:spacing w:after="0"/>
            </w:pPr>
            <w:r w:rsidRPr="06C2E9BC">
              <w:rPr>
                <w:rFonts w:ascii="Arial" w:eastAsia="Arial" w:hAnsi="Arial" w:cs="Arial"/>
                <w:color w:val="000000" w:themeColor="text1"/>
                <w:sz w:val="20"/>
                <w:szCs w:val="20"/>
              </w:rPr>
              <w:t xml:space="preserve">They are generally the same NDE has determined that "students in the eleventh grade..." meant the third year a student was in high school. We test students who are in the 3rd year cohort, which is determined when the student first enrolls in the 9th grade not by credit hours. The NDE provides the list of students who are eligible to test. </w:t>
            </w:r>
          </w:p>
        </w:tc>
      </w:tr>
      <w:tr w:rsidR="06C2E9BC" w14:paraId="7C4EE41E" w14:textId="77777777" w:rsidTr="4A3C5668">
        <w:trPr>
          <w:trHeight w:val="930"/>
        </w:trPr>
        <w:tc>
          <w:tcPr>
            <w:tcW w:w="4950" w:type="dxa"/>
            <w:tcMar>
              <w:top w:w="15" w:type="dxa"/>
              <w:left w:w="15" w:type="dxa"/>
              <w:right w:w="15" w:type="dxa"/>
            </w:tcMar>
            <w:vAlign w:val="center"/>
          </w:tcPr>
          <w:p w14:paraId="2C4847A9" w14:textId="3EAEE65D" w:rsidR="06C2E9BC" w:rsidRDefault="06C2E9BC" w:rsidP="06C2E9BC">
            <w:pPr>
              <w:spacing w:after="0"/>
            </w:pPr>
            <w:r w:rsidRPr="06C2E9BC">
              <w:rPr>
                <w:rFonts w:ascii="Arial" w:eastAsia="Arial" w:hAnsi="Arial" w:cs="Arial"/>
                <w:color w:val="000000" w:themeColor="text1"/>
                <w:sz w:val="20"/>
                <w:szCs w:val="20"/>
              </w:rPr>
              <w:t>“</w:t>
            </w:r>
            <w:proofErr w:type="gramStart"/>
            <w:r w:rsidRPr="06C2E9BC">
              <w:rPr>
                <w:rFonts w:ascii="Arial" w:eastAsia="Arial" w:hAnsi="Arial" w:cs="Arial"/>
                <w:color w:val="000000" w:themeColor="text1"/>
                <w:sz w:val="20"/>
                <w:szCs w:val="20"/>
              </w:rPr>
              <w:t>payment</w:t>
            </w:r>
            <w:proofErr w:type="gramEnd"/>
            <w:r w:rsidRPr="06C2E9BC">
              <w:rPr>
                <w:rFonts w:ascii="Arial" w:eastAsia="Arial" w:hAnsi="Arial" w:cs="Arial"/>
                <w:color w:val="000000" w:themeColor="text1"/>
                <w:sz w:val="20"/>
                <w:szCs w:val="20"/>
              </w:rPr>
              <w:t xml:space="preserve"> schedule for this Contract will be monthly with one payment for the services performed and deliverables provided during each month.” - Can we do single payment at EOFY?</w:t>
            </w:r>
          </w:p>
        </w:tc>
        <w:tc>
          <w:tcPr>
            <w:tcW w:w="4410" w:type="dxa"/>
            <w:tcMar>
              <w:top w:w="15" w:type="dxa"/>
              <w:left w:w="15" w:type="dxa"/>
              <w:right w:w="15" w:type="dxa"/>
            </w:tcMar>
            <w:vAlign w:val="center"/>
          </w:tcPr>
          <w:p w14:paraId="56E34C60" w14:textId="4E5BBBB0" w:rsidR="06C2E9BC" w:rsidRDefault="06C2E9BC" w:rsidP="06C2E9BC">
            <w:pPr>
              <w:spacing w:after="0"/>
            </w:pPr>
            <w:r w:rsidRPr="06C2E9BC">
              <w:rPr>
                <w:rFonts w:ascii="Arial" w:eastAsia="Arial" w:hAnsi="Arial" w:cs="Arial"/>
                <w:color w:val="000000" w:themeColor="text1"/>
                <w:sz w:val="20"/>
                <w:szCs w:val="20"/>
              </w:rPr>
              <w:t xml:space="preserve">Our Central Accounting department requests regular invoices with deliverables. </w:t>
            </w:r>
          </w:p>
        </w:tc>
      </w:tr>
      <w:tr w:rsidR="06C2E9BC" w14:paraId="1CA10C2D" w14:textId="77777777" w:rsidTr="4A3C5668">
        <w:trPr>
          <w:trHeight w:val="930"/>
        </w:trPr>
        <w:tc>
          <w:tcPr>
            <w:tcW w:w="4950" w:type="dxa"/>
            <w:tcMar>
              <w:top w:w="15" w:type="dxa"/>
              <w:left w:w="15" w:type="dxa"/>
              <w:right w:w="15" w:type="dxa"/>
            </w:tcMar>
            <w:vAlign w:val="center"/>
          </w:tcPr>
          <w:p w14:paraId="2C1EEB34" w14:textId="0B943028" w:rsidR="06C2E9BC" w:rsidRDefault="06C2E9BC" w:rsidP="06C2E9BC">
            <w:pPr>
              <w:spacing w:after="0"/>
            </w:pPr>
            <w:r w:rsidRPr="06C2E9BC">
              <w:rPr>
                <w:rFonts w:ascii="Arial" w:eastAsia="Arial" w:hAnsi="Arial" w:cs="Arial"/>
                <w:color w:val="000000" w:themeColor="text1"/>
                <w:sz w:val="20"/>
                <w:szCs w:val="20"/>
              </w:rPr>
              <w:t xml:space="preserve">The proposal organization outline does not match the sections of the RFP. For example, the outline says c. </w:t>
            </w:r>
            <w:proofErr w:type="gramStart"/>
            <w:r w:rsidRPr="06C2E9BC">
              <w:rPr>
                <w:rFonts w:ascii="Arial" w:eastAsia="Arial" w:hAnsi="Arial" w:cs="Arial"/>
                <w:color w:val="000000" w:themeColor="text1"/>
                <w:sz w:val="20"/>
                <w:szCs w:val="20"/>
              </w:rPr>
              <w:t>Technical</w:t>
            </w:r>
            <w:proofErr w:type="gramEnd"/>
            <w:r w:rsidRPr="06C2E9BC">
              <w:rPr>
                <w:rFonts w:ascii="Arial" w:eastAsia="Arial" w:hAnsi="Arial" w:cs="Arial"/>
                <w:color w:val="000000" w:themeColor="text1"/>
                <w:sz w:val="20"/>
                <w:szCs w:val="20"/>
              </w:rPr>
              <w:t xml:space="preserve"> requirements, 1. Assessment Design, should have subsection i - vi. But there is only subsection i under H.1. Assessment Design, not ii – vi. There are other discrepancies as well. Please clearly advise how to organize the proposal.</w:t>
            </w:r>
          </w:p>
        </w:tc>
        <w:tc>
          <w:tcPr>
            <w:tcW w:w="4410" w:type="dxa"/>
            <w:tcMar>
              <w:top w:w="15" w:type="dxa"/>
              <w:left w:w="15" w:type="dxa"/>
              <w:right w:w="15" w:type="dxa"/>
            </w:tcMar>
            <w:vAlign w:val="center"/>
          </w:tcPr>
          <w:p w14:paraId="42996198" w14:textId="21AE3FEF" w:rsidR="06C2E9BC" w:rsidRDefault="06C2E9BC" w:rsidP="06C2E9BC">
            <w:pPr>
              <w:spacing w:after="0"/>
            </w:pPr>
            <w:r w:rsidRPr="06C2E9BC">
              <w:rPr>
                <w:rFonts w:ascii="Arial" w:eastAsia="Arial" w:hAnsi="Arial" w:cs="Arial"/>
                <w:color w:val="000000" w:themeColor="text1"/>
                <w:sz w:val="20"/>
                <w:szCs w:val="20"/>
              </w:rPr>
              <w:t xml:space="preserve">The organization of the proposal is detailed under F. Scope of Work, 2. Proposal </w:t>
            </w:r>
            <w:proofErr w:type="gramStart"/>
            <w:r w:rsidRPr="06C2E9BC">
              <w:rPr>
                <w:rFonts w:ascii="Arial" w:eastAsia="Arial" w:hAnsi="Arial" w:cs="Arial"/>
                <w:color w:val="000000" w:themeColor="text1"/>
                <w:sz w:val="20"/>
                <w:szCs w:val="20"/>
              </w:rPr>
              <w:t>Organization.(</w:t>
            </w:r>
            <w:proofErr w:type="gramEnd"/>
            <w:r w:rsidRPr="06C2E9BC">
              <w:rPr>
                <w:rFonts w:ascii="Arial" w:eastAsia="Arial" w:hAnsi="Arial" w:cs="Arial"/>
                <w:color w:val="000000" w:themeColor="text1"/>
                <w:sz w:val="20"/>
                <w:szCs w:val="20"/>
              </w:rPr>
              <w:t>pg 60-61). On pg 96-97 are additional requirements that inform bidders on how to prepare the Corporate Overview, Technical Response &amp; Cost Sheet.</w:t>
            </w:r>
          </w:p>
        </w:tc>
      </w:tr>
      <w:tr w:rsidR="06C2E9BC" w14:paraId="4871E851" w14:textId="77777777" w:rsidTr="4A3C5668">
        <w:trPr>
          <w:trHeight w:val="930"/>
        </w:trPr>
        <w:tc>
          <w:tcPr>
            <w:tcW w:w="4950" w:type="dxa"/>
            <w:tcMar>
              <w:top w:w="15" w:type="dxa"/>
              <w:left w:w="15" w:type="dxa"/>
              <w:right w:w="15" w:type="dxa"/>
            </w:tcMar>
            <w:vAlign w:val="center"/>
          </w:tcPr>
          <w:p w14:paraId="431C758C" w14:textId="0F7B7AFB" w:rsidR="06C2E9BC" w:rsidRDefault="06C2E9BC" w:rsidP="06C2E9BC">
            <w:pPr>
              <w:spacing w:after="0"/>
            </w:pPr>
            <w:r w:rsidRPr="06C2E9BC">
              <w:rPr>
                <w:rFonts w:ascii="Arial" w:eastAsia="Arial" w:hAnsi="Arial" w:cs="Arial"/>
                <w:color w:val="000000" w:themeColor="text1"/>
                <w:sz w:val="20"/>
                <w:szCs w:val="20"/>
              </w:rPr>
              <w:t>The Technical response subsections that are listed (Understanding of the project requirements, etc.) do not align with how the questions in the RFP are laid out. They also do not align with the proposal organization instructions on pg. 39. Please clearly advise how to organize the proposal.</w:t>
            </w:r>
          </w:p>
        </w:tc>
        <w:tc>
          <w:tcPr>
            <w:tcW w:w="4410" w:type="dxa"/>
            <w:tcMar>
              <w:top w:w="15" w:type="dxa"/>
              <w:left w:w="15" w:type="dxa"/>
              <w:right w:w="15" w:type="dxa"/>
            </w:tcMar>
            <w:vAlign w:val="center"/>
          </w:tcPr>
          <w:p w14:paraId="4916C2ED" w14:textId="0891630D" w:rsidR="06C2E9BC" w:rsidRDefault="06C2E9BC" w:rsidP="06C2E9BC">
            <w:pPr>
              <w:spacing w:after="0"/>
            </w:pPr>
            <w:r w:rsidRPr="06C2E9BC">
              <w:rPr>
                <w:rFonts w:ascii="Arial" w:eastAsia="Arial" w:hAnsi="Arial" w:cs="Arial"/>
                <w:color w:val="000000" w:themeColor="text1"/>
                <w:sz w:val="20"/>
                <w:szCs w:val="20"/>
              </w:rPr>
              <w:t xml:space="preserve">The organization of the proposal is detailed under F. Scope of Work, 2. Proposal </w:t>
            </w:r>
            <w:proofErr w:type="gramStart"/>
            <w:r w:rsidRPr="06C2E9BC">
              <w:rPr>
                <w:rFonts w:ascii="Arial" w:eastAsia="Arial" w:hAnsi="Arial" w:cs="Arial"/>
                <w:color w:val="000000" w:themeColor="text1"/>
                <w:sz w:val="20"/>
                <w:szCs w:val="20"/>
              </w:rPr>
              <w:t>Organization.(</w:t>
            </w:r>
            <w:proofErr w:type="gramEnd"/>
            <w:r w:rsidRPr="06C2E9BC">
              <w:rPr>
                <w:rFonts w:ascii="Arial" w:eastAsia="Arial" w:hAnsi="Arial" w:cs="Arial"/>
                <w:color w:val="000000" w:themeColor="text1"/>
                <w:sz w:val="20"/>
                <w:szCs w:val="20"/>
              </w:rPr>
              <w:t>pg 60-61). On pg 96-97 are additional requirements that inform bidders on how to prepare the Corporate Overview, Technical Response &amp; Cost Sheet.</w:t>
            </w:r>
          </w:p>
        </w:tc>
      </w:tr>
      <w:tr w:rsidR="06C2E9BC" w14:paraId="4F23FB38" w14:textId="77777777" w:rsidTr="4A3C5668">
        <w:trPr>
          <w:trHeight w:val="930"/>
        </w:trPr>
        <w:tc>
          <w:tcPr>
            <w:tcW w:w="4950" w:type="dxa"/>
            <w:tcMar>
              <w:top w:w="15" w:type="dxa"/>
              <w:left w:w="15" w:type="dxa"/>
              <w:right w:w="15" w:type="dxa"/>
            </w:tcMar>
            <w:vAlign w:val="center"/>
          </w:tcPr>
          <w:p w14:paraId="53F0ADFF" w14:textId="70B655D5" w:rsidR="06C2E9BC" w:rsidRDefault="06C2E9BC" w:rsidP="06C2E9BC">
            <w:pPr>
              <w:spacing w:after="0"/>
            </w:pPr>
            <w:r w:rsidRPr="06C2E9BC">
              <w:rPr>
                <w:rFonts w:ascii="Arial" w:eastAsia="Arial" w:hAnsi="Arial" w:cs="Arial"/>
                <w:color w:val="000000" w:themeColor="text1"/>
                <w:sz w:val="20"/>
                <w:szCs w:val="20"/>
              </w:rPr>
              <w:t>Section G. Work Plan states, “Within two weeks of the execution of the Contract, Bidder must submit a project plan to the NDE for final approval.” However, the technical response section on pg. 72 requires a “detailed project work plan.” Please advise whether a detailed project work plan is required with the proposal or if it is only required upon award.</w:t>
            </w:r>
          </w:p>
        </w:tc>
        <w:tc>
          <w:tcPr>
            <w:tcW w:w="4410" w:type="dxa"/>
            <w:tcMar>
              <w:top w:w="15" w:type="dxa"/>
              <w:left w:w="15" w:type="dxa"/>
              <w:right w:w="15" w:type="dxa"/>
            </w:tcMar>
            <w:vAlign w:val="center"/>
          </w:tcPr>
          <w:p w14:paraId="11E26037" w14:textId="5935A990" w:rsidR="06C2E9BC" w:rsidRDefault="06C2E9BC" w:rsidP="06C2E9BC">
            <w:pPr>
              <w:spacing w:after="0"/>
            </w:pPr>
            <w:r w:rsidRPr="06C2E9BC">
              <w:rPr>
                <w:rFonts w:ascii="Arial" w:eastAsia="Arial" w:hAnsi="Arial" w:cs="Arial"/>
                <w:color w:val="000000" w:themeColor="text1"/>
                <w:sz w:val="20"/>
                <w:szCs w:val="20"/>
              </w:rPr>
              <w:t>Confirm: the detailed work plan is required upon the award</w:t>
            </w:r>
          </w:p>
        </w:tc>
      </w:tr>
      <w:tr w:rsidR="06C2E9BC" w14:paraId="48915D9F" w14:textId="77777777" w:rsidTr="4A3C5668">
        <w:trPr>
          <w:trHeight w:val="705"/>
        </w:trPr>
        <w:tc>
          <w:tcPr>
            <w:tcW w:w="4950" w:type="dxa"/>
            <w:tcMar>
              <w:top w:w="15" w:type="dxa"/>
              <w:left w:w="15" w:type="dxa"/>
              <w:right w:w="15" w:type="dxa"/>
            </w:tcMar>
            <w:vAlign w:val="center"/>
          </w:tcPr>
          <w:p w14:paraId="0CB6AC77" w14:textId="53AC5A60" w:rsidR="06C2E9BC" w:rsidRDefault="06C2E9BC" w:rsidP="06C2E9BC">
            <w:pPr>
              <w:spacing w:after="0"/>
            </w:pPr>
            <w:r w:rsidRPr="06C2E9BC">
              <w:rPr>
                <w:rFonts w:ascii="Arial" w:eastAsia="Arial" w:hAnsi="Arial" w:cs="Arial"/>
                <w:color w:val="000000" w:themeColor="text1"/>
                <w:sz w:val="20"/>
                <w:szCs w:val="20"/>
              </w:rPr>
              <w:t>There are no questions/instructions given with the deliverables table. Should it be included in the proposal, and if so, how?</w:t>
            </w:r>
          </w:p>
        </w:tc>
        <w:tc>
          <w:tcPr>
            <w:tcW w:w="4410" w:type="dxa"/>
            <w:tcMar>
              <w:top w:w="15" w:type="dxa"/>
              <w:left w:w="15" w:type="dxa"/>
              <w:right w:w="15" w:type="dxa"/>
            </w:tcMar>
            <w:vAlign w:val="center"/>
          </w:tcPr>
          <w:p w14:paraId="1E05034B" w14:textId="231D4301" w:rsidR="06C2E9BC" w:rsidRDefault="06C2E9BC" w:rsidP="06C2E9BC">
            <w:pPr>
              <w:spacing w:after="0"/>
            </w:pPr>
            <w:r w:rsidRPr="06C2E9BC">
              <w:rPr>
                <w:rFonts w:ascii="Arial" w:eastAsia="Arial" w:hAnsi="Arial" w:cs="Arial"/>
                <w:color w:val="000000" w:themeColor="text1"/>
                <w:sz w:val="20"/>
                <w:szCs w:val="20"/>
              </w:rPr>
              <w:t xml:space="preserve">The deliverables table is a collection of deliverables identified throughout the RFP. It is a resource to bidders and is not expected to be included in the proposal. </w:t>
            </w:r>
          </w:p>
        </w:tc>
      </w:tr>
      <w:tr w:rsidR="06C2E9BC" w14:paraId="3414CE67" w14:textId="77777777" w:rsidTr="4A3C5668">
        <w:trPr>
          <w:trHeight w:val="705"/>
        </w:trPr>
        <w:tc>
          <w:tcPr>
            <w:tcW w:w="4950" w:type="dxa"/>
            <w:tcMar>
              <w:top w:w="15" w:type="dxa"/>
              <w:left w:w="15" w:type="dxa"/>
              <w:right w:w="15" w:type="dxa"/>
            </w:tcMar>
            <w:vAlign w:val="center"/>
          </w:tcPr>
          <w:p w14:paraId="5A139518" w14:textId="10931F99" w:rsidR="06C2E9BC" w:rsidRDefault="06C2E9BC" w:rsidP="06C2E9BC">
            <w:pPr>
              <w:spacing w:after="0"/>
            </w:pPr>
            <w:r w:rsidRPr="06C2E9BC">
              <w:rPr>
                <w:rFonts w:ascii="Arial" w:eastAsia="Arial" w:hAnsi="Arial" w:cs="Arial"/>
                <w:color w:val="000000" w:themeColor="text1"/>
                <w:sz w:val="20"/>
                <w:szCs w:val="20"/>
              </w:rPr>
              <w:t>There are no questions/instructions given with the deliverables table. Should it be included in the proposal, and if so, how?</w:t>
            </w:r>
          </w:p>
        </w:tc>
        <w:tc>
          <w:tcPr>
            <w:tcW w:w="4410" w:type="dxa"/>
            <w:tcMar>
              <w:top w:w="15" w:type="dxa"/>
              <w:left w:w="15" w:type="dxa"/>
              <w:right w:w="15" w:type="dxa"/>
            </w:tcMar>
            <w:vAlign w:val="center"/>
          </w:tcPr>
          <w:p w14:paraId="778D5221" w14:textId="126DD5A2" w:rsidR="06C2E9BC" w:rsidRDefault="06C2E9BC" w:rsidP="06C2E9BC">
            <w:pPr>
              <w:spacing w:after="0"/>
            </w:pPr>
            <w:r w:rsidRPr="06C2E9BC">
              <w:rPr>
                <w:rFonts w:ascii="Arial" w:eastAsia="Arial" w:hAnsi="Arial" w:cs="Arial"/>
                <w:color w:val="000000" w:themeColor="text1"/>
                <w:sz w:val="20"/>
                <w:szCs w:val="20"/>
              </w:rPr>
              <w:t xml:space="preserve">The deliverables table is a collection of deliverables identified throughout the RFP. It is a resource to bidders and is not expected to be included in the proposal. </w:t>
            </w:r>
          </w:p>
        </w:tc>
      </w:tr>
      <w:tr w:rsidR="06C2E9BC" w14:paraId="0F5F145D" w14:textId="77777777" w:rsidTr="4A3C5668">
        <w:trPr>
          <w:trHeight w:val="930"/>
        </w:trPr>
        <w:tc>
          <w:tcPr>
            <w:tcW w:w="4950" w:type="dxa"/>
            <w:tcMar>
              <w:top w:w="15" w:type="dxa"/>
              <w:left w:w="15" w:type="dxa"/>
              <w:right w:w="15" w:type="dxa"/>
            </w:tcMar>
            <w:vAlign w:val="center"/>
          </w:tcPr>
          <w:p w14:paraId="58F72685" w14:textId="54B3D5D3" w:rsidR="06C2E9BC" w:rsidRDefault="06C2E9BC" w:rsidP="06C2E9BC">
            <w:pPr>
              <w:spacing w:after="0"/>
            </w:pPr>
            <w:r w:rsidRPr="06C2E9BC">
              <w:rPr>
                <w:rFonts w:ascii="Arial" w:eastAsia="Arial" w:hAnsi="Arial" w:cs="Arial"/>
                <w:color w:val="000000" w:themeColor="text1"/>
                <w:sz w:val="20"/>
                <w:szCs w:val="20"/>
              </w:rPr>
              <w:t>There are items in the deliverables table that are not otherwise addressed in the RFP and/or the deliverables section on pg. 61. For example, there are no questions regarding a sandbox. Is the deliverables table accurate? If so, how do we address items that do not have related questions in the RFP?</w:t>
            </w:r>
          </w:p>
        </w:tc>
        <w:tc>
          <w:tcPr>
            <w:tcW w:w="4410" w:type="dxa"/>
            <w:tcMar>
              <w:top w:w="15" w:type="dxa"/>
              <w:left w:w="15" w:type="dxa"/>
              <w:right w:w="15" w:type="dxa"/>
            </w:tcMar>
            <w:vAlign w:val="center"/>
          </w:tcPr>
          <w:p w14:paraId="78A2B57C" w14:textId="649EF083" w:rsidR="06C2E9BC" w:rsidRDefault="06C2E9BC" w:rsidP="06C2E9BC">
            <w:pPr>
              <w:spacing w:after="0"/>
            </w:pPr>
            <w:r w:rsidRPr="06C2E9BC">
              <w:rPr>
                <w:rFonts w:ascii="Arial" w:eastAsia="Arial" w:hAnsi="Arial" w:cs="Arial"/>
                <w:color w:val="000000" w:themeColor="text1"/>
                <w:sz w:val="20"/>
                <w:szCs w:val="20"/>
              </w:rPr>
              <w:t xml:space="preserve">The "sandbox" reference should be removed from the Deliverable table and from the Proposal Organization e. Deliverables, 2. Test Administration v. Training Sandbox. For other items not addressed in the RFP, bidder may disregard. </w:t>
            </w:r>
          </w:p>
        </w:tc>
      </w:tr>
      <w:tr w:rsidR="06C2E9BC" w14:paraId="06C67602" w14:textId="77777777" w:rsidTr="4A3C5668">
        <w:trPr>
          <w:trHeight w:val="465"/>
        </w:trPr>
        <w:tc>
          <w:tcPr>
            <w:tcW w:w="4950" w:type="dxa"/>
            <w:tcMar>
              <w:top w:w="15" w:type="dxa"/>
              <w:left w:w="15" w:type="dxa"/>
              <w:right w:w="15" w:type="dxa"/>
            </w:tcMar>
            <w:vAlign w:val="center"/>
          </w:tcPr>
          <w:p w14:paraId="43328BAE" w14:textId="3A157FEE" w:rsidR="06C2E9BC" w:rsidRDefault="06C2E9BC" w:rsidP="06C2E9BC">
            <w:pPr>
              <w:spacing w:after="0"/>
            </w:pPr>
            <w:r w:rsidRPr="06C2E9BC">
              <w:rPr>
                <w:rFonts w:ascii="Arial" w:eastAsia="Arial" w:hAnsi="Arial" w:cs="Arial"/>
                <w:color w:val="000000" w:themeColor="text1"/>
                <w:sz w:val="20"/>
                <w:szCs w:val="20"/>
              </w:rPr>
              <w:lastRenderedPageBreak/>
              <w:t>This section states, “The file layouts for exportable reports will be determined in collaboration with ISBE on an annual basis.” Should “ISBE” be NDE or another entity?</w:t>
            </w:r>
          </w:p>
        </w:tc>
        <w:tc>
          <w:tcPr>
            <w:tcW w:w="4410" w:type="dxa"/>
            <w:tcMar>
              <w:top w:w="15" w:type="dxa"/>
              <w:left w:w="15" w:type="dxa"/>
              <w:right w:w="15" w:type="dxa"/>
            </w:tcMar>
            <w:vAlign w:val="center"/>
          </w:tcPr>
          <w:p w14:paraId="44C49469" w14:textId="5EA0E984" w:rsidR="06C2E9BC" w:rsidRDefault="06C2E9BC" w:rsidP="06C2E9BC">
            <w:pPr>
              <w:spacing w:after="0"/>
            </w:pPr>
            <w:r w:rsidRPr="06C2E9BC">
              <w:rPr>
                <w:rFonts w:ascii="Arial" w:eastAsia="Arial" w:hAnsi="Arial" w:cs="Arial"/>
                <w:color w:val="000000" w:themeColor="text1"/>
                <w:sz w:val="20"/>
                <w:szCs w:val="20"/>
              </w:rPr>
              <w:t>Yes, it should be NDE</w:t>
            </w:r>
          </w:p>
        </w:tc>
      </w:tr>
    </w:tbl>
    <w:p w14:paraId="73A26D65" w14:textId="604CAF9A" w:rsidR="00AA319D" w:rsidRDefault="00AA319D" w:rsidP="06C2E9BC">
      <w:pPr>
        <w:jc w:val="center"/>
        <w:rPr>
          <w:rFonts w:ascii="Aptos" w:eastAsia="Aptos" w:hAnsi="Aptos" w:cs="Aptos"/>
          <w:b/>
          <w:bCs/>
          <w:color w:val="000000" w:themeColor="text1"/>
          <w:sz w:val="48"/>
          <w:szCs w:val="48"/>
        </w:rPr>
      </w:pPr>
    </w:p>
    <w:p w14:paraId="2C078E63" w14:textId="7C7E1F2F" w:rsidR="00AA319D" w:rsidRDefault="00AA319D"/>
    <w:sectPr w:rsidR="00AA31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0155EB"/>
    <w:rsid w:val="003928FB"/>
    <w:rsid w:val="003C1288"/>
    <w:rsid w:val="00595852"/>
    <w:rsid w:val="0071407F"/>
    <w:rsid w:val="0082118A"/>
    <w:rsid w:val="009373E8"/>
    <w:rsid w:val="00AA319D"/>
    <w:rsid w:val="00BB4F24"/>
    <w:rsid w:val="00C45319"/>
    <w:rsid w:val="00D84DC6"/>
    <w:rsid w:val="00DF6567"/>
    <w:rsid w:val="06C2E9BC"/>
    <w:rsid w:val="140155EB"/>
    <w:rsid w:val="2313F2C7"/>
    <w:rsid w:val="269EEECA"/>
    <w:rsid w:val="35315F79"/>
    <w:rsid w:val="4A3C5668"/>
    <w:rsid w:val="73861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155EB"/>
  <w15:chartTrackingRefBased/>
  <w15:docId w15:val="{516AC42E-FAC1-4844-9D1D-7D1953CE1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99058">
      <w:bodyDiv w:val="1"/>
      <w:marLeft w:val="0"/>
      <w:marRight w:val="0"/>
      <w:marTop w:val="0"/>
      <w:marBottom w:val="0"/>
      <w:divBdr>
        <w:top w:val="none" w:sz="0" w:space="0" w:color="auto"/>
        <w:left w:val="none" w:sz="0" w:space="0" w:color="auto"/>
        <w:bottom w:val="none" w:sz="0" w:space="0" w:color="auto"/>
        <w:right w:val="none" w:sz="0" w:space="0" w:color="auto"/>
      </w:divBdr>
      <w:divsChild>
        <w:div w:id="2095128738">
          <w:marLeft w:val="0"/>
          <w:marRight w:val="0"/>
          <w:marTop w:val="0"/>
          <w:marBottom w:val="0"/>
          <w:divBdr>
            <w:top w:val="none" w:sz="0" w:space="0" w:color="auto"/>
            <w:left w:val="none" w:sz="0" w:space="0" w:color="auto"/>
            <w:bottom w:val="none" w:sz="0" w:space="0" w:color="auto"/>
            <w:right w:val="none" w:sz="0" w:space="0" w:color="auto"/>
          </w:divBdr>
        </w:div>
      </w:divsChild>
    </w:div>
    <w:div w:id="71633077">
      <w:bodyDiv w:val="1"/>
      <w:marLeft w:val="0"/>
      <w:marRight w:val="0"/>
      <w:marTop w:val="0"/>
      <w:marBottom w:val="0"/>
      <w:divBdr>
        <w:top w:val="none" w:sz="0" w:space="0" w:color="auto"/>
        <w:left w:val="none" w:sz="0" w:space="0" w:color="auto"/>
        <w:bottom w:val="none" w:sz="0" w:space="0" w:color="auto"/>
        <w:right w:val="none" w:sz="0" w:space="0" w:color="auto"/>
      </w:divBdr>
      <w:divsChild>
        <w:div w:id="1754427100">
          <w:marLeft w:val="0"/>
          <w:marRight w:val="0"/>
          <w:marTop w:val="0"/>
          <w:marBottom w:val="0"/>
          <w:divBdr>
            <w:top w:val="none" w:sz="0" w:space="0" w:color="auto"/>
            <w:left w:val="none" w:sz="0" w:space="0" w:color="auto"/>
            <w:bottom w:val="none" w:sz="0" w:space="0" w:color="auto"/>
            <w:right w:val="none" w:sz="0" w:space="0" w:color="auto"/>
          </w:divBdr>
        </w:div>
      </w:divsChild>
    </w:div>
    <w:div w:id="155078577">
      <w:bodyDiv w:val="1"/>
      <w:marLeft w:val="0"/>
      <w:marRight w:val="0"/>
      <w:marTop w:val="0"/>
      <w:marBottom w:val="0"/>
      <w:divBdr>
        <w:top w:val="none" w:sz="0" w:space="0" w:color="auto"/>
        <w:left w:val="none" w:sz="0" w:space="0" w:color="auto"/>
        <w:bottom w:val="none" w:sz="0" w:space="0" w:color="auto"/>
        <w:right w:val="none" w:sz="0" w:space="0" w:color="auto"/>
      </w:divBdr>
      <w:divsChild>
        <w:div w:id="1428892402">
          <w:marLeft w:val="0"/>
          <w:marRight w:val="0"/>
          <w:marTop w:val="0"/>
          <w:marBottom w:val="0"/>
          <w:divBdr>
            <w:top w:val="none" w:sz="0" w:space="0" w:color="auto"/>
            <w:left w:val="none" w:sz="0" w:space="0" w:color="auto"/>
            <w:bottom w:val="none" w:sz="0" w:space="0" w:color="auto"/>
            <w:right w:val="none" w:sz="0" w:space="0" w:color="auto"/>
          </w:divBdr>
        </w:div>
      </w:divsChild>
    </w:div>
    <w:div w:id="208810393">
      <w:bodyDiv w:val="1"/>
      <w:marLeft w:val="0"/>
      <w:marRight w:val="0"/>
      <w:marTop w:val="0"/>
      <w:marBottom w:val="0"/>
      <w:divBdr>
        <w:top w:val="none" w:sz="0" w:space="0" w:color="auto"/>
        <w:left w:val="none" w:sz="0" w:space="0" w:color="auto"/>
        <w:bottom w:val="none" w:sz="0" w:space="0" w:color="auto"/>
        <w:right w:val="none" w:sz="0" w:space="0" w:color="auto"/>
      </w:divBdr>
      <w:divsChild>
        <w:div w:id="1222329622">
          <w:marLeft w:val="0"/>
          <w:marRight w:val="0"/>
          <w:marTop w:val="0"/>
          <w:marBottom w:val="0"/>
          <w:divBdr>
            <w:top w:val="none" w:sz="0" w:space="0" w:color="auto"/>
            <w:left w:val="none" w:sz="0" w:space="0" w:color="auto"/>
            <w:bottom w:val="none" w:sz="0" w:space="0" w:color="auto"/>
            <w:right w:val="none" w:sz="0" w:space="0" w:color="auto"/>
          </w:divBdr>
        </w:div>
      </w:divsChild>
    </w:div>
    <w:div w:id="211619751">
      <w:bodyDiv w:val="1"/>
      <w:marLeft w:val="0"/>
      <w:marRight w:val="0"/>
      <w:marTop w:val="0"/>
      <w:marBottom w:val="0"/>
      <w:divBdr>
        <w:top w:val="none" w:sz="0" w:space="0" w:color="auto"/>
        <w:left w:val="none" w:sz="0" w:space="0" w:color="auto"/>
        <w:bottom w:val="none" w:sz="0" w:space="0" w:color="auto"/>
        <w:right w:val="none" w:sz="0" w:space="0" w:color="auto"/>
      </w:divBdr>
      <w:divsChild>
        <w:div w:id="1361513276">
          <w:marLeft w:val="0"/>
          <w:marRight w:val="0"/>
          <w:marTop w:val="0"/>
          <w:marBottom w:val="0"/>
          <w:divBdr>
            <w:top w:val="none" w:sz="0" w:space="0" w:color="auto"/>
            <w:left w:val="none" w:sz="0" w:space="0" w:color="auto"/>
            <w:bottom w:val="none" w:sz="0" w:space="0" w:color="auto"/>
            <w:right w:val="none" w:sz="0" w:space="0" w:color="auto"/>
          </w:divBdr>
        </w:div>
      </w:divsChild>
    </w:div>
    <w:div w:id="247926309">
      <w:bodyDiv w:val="1"/>
      <w:marLeft w:val="0"/>
      <w:marRight w:val="0"/>
      <w:marTop w:val="0"/>
      <w:marBottom w:val="0"/>
      <w:divBdr>
        <w:top w:val="none" w:sz="0" w:space="0" w:color="auto"/>
        <w:left w:val="none" w:sz="0" w:space="0" w:color="auto"/>
        <w:bottom w:val="none" w:sz="0" w:space="0" w:color="auto"/>
        <w:right w:val="none" w:sz="0" w:space="0" w:color="auto"/>
      </w:divBdr>
      <w:divsChild>
        <w:div w:id="1487236638">
          <w:marLeft w:val="0"/>
          <w:marRight w:val="0"/>
          <w:marTop w:val="0"/>
          <w:marBottom w:val="0"/>
          <w:divBdr>
            <w:top w:val="none" w:sz="0" w:space="0" w:color="auto"/>
            <w:left w:val="none" w:sz="0" w:space="0" w:color="auto"/>
            <w:bottom w:val="none" w:sz="0" w:space="0" w:color="auto"/>
            <w:right w:val="none" w:sz="0" w:space="0" w:color="auto"/>
          </w:divBdr>
        </w:div>
      </w:divsChild>
    </w:div>
    <w:div w:id="477037253">
      <w:bodyDiv w:val="1"/>
      <w:marLeft w:val="0"/>
      <w:marRight w:val="0"/>
      <w:marTop w:val="0"/>
      <w:marBottom w:val="0"/>
      <w:divBdr>
        <w:top w:val="none" w:sz="0" w:space="0" w:color="auto"/>
        <w:left w:val="none" w:sz="0" w:space="0" w:color="auto"/>
        <w:bottom w:val="none" w:sz="0" w:space="0" w:color="auto"/>
        <w:right w:val="none" w:sz="0" w:space="0" w:color="auto"/>
      </w:divBdr>
      <w:divsChild>
        <w:div w:id="1518888387">
          <w:marLeft w:val="0"/>
          <w:marRight w:val="0"/>
          <w:marTop w:val="0"/>
          <w:marBottom w:val="0"/>
          <w:divBdr>
            <w:top w:val="none" w:sz="0" w:space="0" w:color="auto"/>
            <w:left w:val="none" w:sz="0" w:space="0" w:color="auto"/>
            <w:bottom w:val="none" w:sz="0" w:space="0" w:color="auto"/>
            <w:right w:val="none" w:sz="0" w:space="0" w:color="auto"/>
          </w:divBdr>
        </w:div>
      </w:divsChild>
    </w:div>
    <w:div w:id="540410333">
      <w:bodyDiv w:val="1"/>
      <w:marLeft w:val="0"/>
      <w:marRight w:val="0"/>
      <w:marTop w:val="0"/>
      <w:marBottom w:val="0"/>
      <w:divBdr>
        <w:top w:val="none" w:sz="0" w:space="0" w:color="auto"/>
        <w:left w:val="none" w:sz="0" w:space="0" w:color="auto"/>
        <w:bottom w:val="none" w:sz="0" w:space="0" w:color="auto"/>
        <w:right w:val="none" w:sz="0" w:space="0" w:color="auto"/>
      </w:divBdr>
      <w:divsChild>
        <w:div w:id="2022119543">
          <w:marLeft w:val="0"/>
          <w:marRight w:val="0"/>
          <w:marTop w:val="0"/>
          <w:marBottom w:val="0"/>
          <w:divBdr>
            <w:top w:val="none" w:sz="0" w:space="0" w:color="auto"/>
            <w:left w:val="none" w:sz="0" w:space="0" w:color="auto"/>
            <w:bottom w:val="none" w:sz="0" w:space="0" w:color="auto"/>
            <w:right w:val="none" w:sz="0" w:space="0" w:color="auto"/>
          </w:divBdr>
        </w:div>
      </w:divsChild>
    </w:div>
    <w:div w:id="591625356">
      <w:bodyDiv w:val="1"/>
      <w:marLeft w:val="0"/>
      <w:marRight w:val="0"/>
      <w:marTop w:val="0"/>
      <w:marBottom w:val="0"/>
      <w:divBdr>
        <w:top w:val="none" w:sz="0" w:space="0" w:color="auto"/>
        <w:left w:val="none" w:sz="0" w:space="0" w:color="auto"/>
        <w:bottom w:val="none" w:sz="0" w:space="0" w:color="auto"/>
        <w:right w:val="none" w:sz="0" w:space="0" w:color="auto"/>
      </w:divBdr>
      <w:divsChild>
        <w:div w:id="665016050">
          <w:marLeft w:val="0"/>
          <w:marRight w:val="0"/>
          <w:marTop w:val="0"/>
          <w:marBottom w:val="0"/>
          <w:divBdr>
            <w:top w:val="none" w:sz="0" w:space="0" w:color="auto"/>
            <w:left w:val="none" w:sz="0" w:space="0" w:color="auto"/>
            <w:bottom w:val="none" w:sz="0" w:space="0" w:color="auto"/>
            <w:right w:val="none" w:sz="0" w:space="0" w:color="auto"/>
          </w:divBdr>
        </w:div>
      </w:divsChild>
    </w:div>
    <w:div w:id="1043552483">
      <w:bodyDiv w:val="1"/>
      <w:marLeft w:val="0"/>
      <w:marRight w:val="0"/>
      <w:marTop w:val="0"/>
      <w:marBottom w:val="0"/>
      <w:divBdr>
        <w:top w:val="none" w:sz="0" w:space="0" w:color="auto"/>
        <w:left w:val="none" w:sz="0" w:space="0" w:color="auto"/>
        <w:bottom w:val="none" w:sz="0" w:space="0" w:color="auto"/>
        <w:right w:val="none" w:sz="0" w:space="0" w:color="auto"/>
      </w:divBdr>
      <w:divsChild>
        <w:div w:id="1555922924">
          <w:marLeft w:val="0"/>
          <w:marRight w:val="0"/>
          <w:marTop w:val="0"/>
          <w:marBottom w:val="0"/>
          <w:divBdr>
            <w:top w:val="none" w:sz="0" w:space="0" w:color="auto"/>
            <w:left w:val="none" w:sz="0" w:space="0" w:color="auto"/>
            <w:bottom w:val="none" w:sz="0" w:space="0" w:color="auto"/>
            <w:right w:val="none" w:sz="0" w:space="0" w:color="auto"/>
          </w:divBdr>
        </w:div>
      </w:divsChild>
    </w:div>
    <w:div w:id="1436511996">
      <w:bodyDiv w:val="1"/>
      <w:marLeft w:val="0"/>
      <w:marRight w:val="0"/>
      <w:marTop w:val="0"/>
      <w:marBottom w:val="0"/>
      <w:divBdr>
        <w:top w:val="none" w:sz="0" w:space="0" w:color="auto"/>
        <w:left w:val="none" w:sz="0" w:space="0" w:color="auto"/>
        <w:bottom w:val="none" w:sz="0" w:space="0" w:color="auto"/>
        <w:right w:val="none" w:sz="0" w:space="0" w:color="auto"/>
      </w:divBdr>
      <w:divsChild>
        <w:div w:id="447167628">
          <w:marLeft w:val="0"/>
          <w:marRight w:val="0"/>
          <w:marTop w:val="0"/>
          <w:marBottom w:val="0"/>
          <w:divBdr>
            <w:top w:val="none" w:sz="0" w:space="0" w:color="auto"/>
            <w:left w:val="none" w:sz="0" w:space="0" w:color="auto"/>
            <w:bottom w:val="none" w:sz="0" w:space="0" w:color="auto"/>
            <w:right w:val="none" w:sz="0" w:space="0" w:color="auto"/>
          </w:divBdr>
        </w:div>
      </w:divsChild>
    </w:div>
    <w:div w:id="1588611529">
      <w:bodyDiv w:val="1"/>
      <w:marLeft w:val="0"/>
      <w:marRight w:val="0"/>
      <w:marTop w:val="0"/>
      <w:marBottom w:val="0"/>
      <w:divBdr>
        <w:top w:val="none" w:sz="0" w:space="0" w:color="auto"/>
        <w:left w:val="none" w:sz="0" w:space="0" w:color="auto"/>
        <w:bottom w:val="none" w:sz="0" w:space="0" w:color="auto"/>
        <w:right w:val="none" w:sz="0" w:space="0" w:color="auto"/>
      </w:divBdr>
      <w:divsChild>
        <w:div w:id="1176648183">
          <w:marLeft w:val="0"/>
          <w:marRight w:val="0"/>
          <w:marTop w:val="0"/>
          <w:marBottom w:val="0"/>
          <w:divBdr>
            <w:top w:val="none" w:sz="0" w:space="0" w:color="auto"/>
            <w:left w:val="none" w:sz="0" w:space="0" w:color="auto"/>
            <w:bottom w:val="none" w:sz="0" w:space="0" w:color="auto"/>
            <w:right w:val="none" w:sz="0" w:space="0" w:color="auto"/>
          </w:divBdr>
        </w:div>
      </w:divsChild>
    </w:div>
    <w:div w:id="1718772186">
      <w:bodyDiv w:val="1"/>
      <w:marLeft w:val="0"/>
      <w:marRight w:val="0"/>
      <w:marTop w:val="0"/>
      <w:marBottom w:val="0"/>
      <w:divBdr>
        <w:top w:val="none" w:sz="0" w:space="0" w:color="auto"/>
        <w:left w:val="none" w:sz="0" w:space="0" w:color="auto"/>
        <w:bottom w:val="none" w:sz="0" w:space="0" w:color="auto"/>
        <w:right w:val="none" w:sz="0" w:space="0" w:color="auto"/>
      </w:divBdr>
      <w:divsChild>
        <w:div w:id="895969797">
          <w:marLeft w:val="0"/>
          <w:marRight w:val="0"/>
          <w:marTop w:val="0"/>
          <w:marBottom w:val="0"/>
          <w:divBdr>
            <w:top w:val="none" w:sz="0" w:space="0" w:color="auto"/>
            <w:left w:val="none" w:sz="0" w:space="0" w:color="auto"/>
            <w:bottom w:val="none" w:sz="0" w:space="0" w:color="auto"/>
            <w:right w:val="none" w:sz="0" w:space="0" w:color="auto"/>
          </w:divBdr>
        </w:div>
      </w:divsChild>
    </w:div>
    <w:div w:id="1758284562">
      <w:bodyDiv w:val="1"/>
      <w:marLeft w:val="0"/>
      <w:marRight w:val="0"/>
      <w:marTop w:val="0"/>
      <w:marBottom w:val="0"/>
      <w:divBdr>
        <w:top w:val="none" w:sz="0" w:space="0" w:color="auto"/>
        <w:left w:val="none" w:sz="0" w:space="0" w:color="auto"/>
        <w:bottom w:val="none" w:sz="0" w:space="0" w:color="auto"/>
        <w:right w:val="none" w:sz="0" w:space="0" w:color="auto"/>
      </w:divBdr>
      <w:divsChild>
        <w:div w:id="958417391">
          <w:marLeft w:val="0"/>
          <w:marRight w:val="0"/>
          <w:marTop w:val="0"/>
          <w:marBottom w:val="0"/>
          <w:divBdr>
            <w:top w:val="none" w:sz="0" w:space="0" w:color="auto"/>
            <w:left w:val="none" w:sz="0" w:space="0" w:color="auto"/>
            <w:bottom w:val="none" w:sz="0" w:space="0" w:color="auto"/>
            <w:right w:val="none" w:sz="0" w:space="0" w:color="auto"/>
          </w:divBdr>
        </w:div>
      </w:divsChild>
    </w:div>
    <w:div w:id="1819610525">
      <w:bodyDiv w:val="1"/>
      <w:marLeft w:val="0"/>
      <w:marRight w:val="0"/>
      <w:marTop w:val="0"/>
      <w:marBottom w:val="0"/>
      <w:divBdr>
        <w:top w:val="none" w:sz="0" w:space="0" w:color="auto"/>
        <w:left w:val="none" w:sz="0" w:space="0" w:color="auto"/>
        <w:bottom w:val="none" w:sz="0" w:space="0" w:color="auto"/>
        <w:right w:val="none" w:sz="0" w:space="0" w:color="auto"/>
      </w:divBdr>
      <w:divsChild>
        <w:div w:id="1275096852">
          <w:marLeft w:val="0"/>
          <w:marRight w:val="0"/>
          <w:marTop w:val="0"/>
          <w:marBottom w:val="0"/>
          <w:divBdr>
            <w:top w:val="none" w:sz="0" w:space="0" w:color="auto"/>
            <w:left w:val="none" w:sz="0" w:space="0" w:color="auto"/>
            <w:bottom w:val="none" w:sz="0" w:space="0" w:color="auto"/>
            <w:right w:val="none" w:sz="0" w:space="0" w:color="auto"/>
          </w:divBdr>
        </w:div>
      </w:divsChild>
    </w:div>
    <w:div w:id="2093503005">
      <w:bodyDiv w:val="1"/>
      <w:marLeft w:val="0"/>
      <w:marRight w:val="0"/>
      <w:marTop w:val="0"/>
      <w:marBottom w:val="0"/>
      <w:divBdr>
        <w:top w:val="none" w:sz="0" w:space="0" w:color="auto"/>
        <w:left w:val="none" w:sz="0" w:space="0" w:color="auto"/>
        <w:bottom w:val="none" w:sz="0" w:space="0" w:color="auto"/>
        <w:right w:val="none" w:sz="0" w:space="0" w:color="auto"/>
      </w:divBdr>
      <w:divsChild>
        <w:div w:id="2039963174">
          <w:marLeft w:val="0"/>
          <w:marRight w:val="0"/>
          <w:marTop w:val="0"/>
          <w:marBottom w:val="0"/>
          <w:divBdr>
            <w:top w:val="none" w:sz="0" w:space="0" w:color="auto"/>
            <w:left w:val="none" w:sz="0" w:space="0" w:color="auto"/>
            <w:bottom w:val="none" w:sz="0" w:space="0" w:color="auto"/>
            <w:right w:val="none" w:sz="0" w:space="0" w:color="auto"/>
          </w:divBdr>
        </w:div>
      </w:divsChild>
    </w:div>
    <w:div w:id="2135826980">
      <w:bodyDiv w:val="1"/>
      <w:marLeft w:val="0"/>
      <w:marRight w:val="0"/>
      <w:marTop w:val="0"/>
      <w:marBottom w:val="0"/>
      <w:divBdr>
        <w:top w:val="none" w:sz="0" w:space="0" w:color="auto"/>
        <w:left w:val="none" w:sz="0" w:space="0" w:color="auto"/>
        <w:bottom w:val="none" w:sz="0" w:space="0" w:color="auto"/>
        <w:right w:val="none" w:sz="0" w:space="0" w:color="auto"/>
      </w:divBdr>
      <w:divsChild>
        <w:div w:id="1306623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1B6BA59F67AF4B9655EF6669CFFC7D" ma:contentTypeVersion="27" ma:contentTypeDescription="Create a new document." ma:contentTypeScope="" ma:versionID="eacb6d9a3f53ff23a57520651b784369">
  <xsd:schema xmlns:xsd="http://www.w3.org/2001/XMLSchema" xmlns:xs="http://www.w3.org/2001/XMLSchema" xmlns:p="http://schemas.microsoft.com/office/2006/metadata/properties" xmlns:ns1="http://schemas.microsoft.com/sharepoint/v3" xmlns:ns2="71c1e4dc-dec0-4b23-a6e1-2db2a279cac6" xmlns:ns3="05d6ef7f-85ce-413e-b73e-e985465ff945" targetNamespace="http://schemas.microsoft.com/office/2006/metadata/properties" ma:root="true" ma:fieldsID="d2be8eb50ae509c7300b44d0e995705a" ns1:_="" ns2:_="" ns3:_="">
    <xsd:import namespace="http://schemas.microsoft.com/sharepoint/v3"/>
    <xsd:import namespace="71c1e4dc-dec0-4b23-a6e1-2db2a279cac6"/>
    <xsd:import namespace="05d6ef7f-85ce-413e-b73e-e985465ff9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c1e4dc-dec0-4b23-a6e1-2db2a279c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element name="_Flow_SignoffStatus" ma:index="28"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d6ef7f-85ce-413e-b73e-e985465ff94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5a8934a-1976-4cf0-af1e-8c288df88828}" ma:internalName="TaxCatchAll" ma:showField="CatchAllData" ma:web="05d6ef7f-85ce-413e-b73e-e985465ff94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1c1e4dc-dec0-4b23-a6e1-2db2a279cac6">
      <Terms xmlns="http://schemas.microsoft.com/office/infopath/2007/PartnerControls"/>
    </lcf76f155ced4ddcb4097134ff3c332f>
    <_Flow_SignoffStatus xmlns="71c1e4dc-dec0-4b23-a6e1-2db2a279cac6" xsi:nil="true"/>
    <_ip_UnifiedCompliancePolicyProperties xmlns="http://schemas.microsoft.com/sharepoint/v3" xsi:nil="true"/>
    <TaxCatchAll xmlns="05d6ef7f-85ce-413e-b73e-e985465ff94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879420-B787-4406-B0E2-7F0B09739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c1e4dc-dec0-4b23-a6e1-2db2a279cac6"/>
    <ds:schemaRef ds:uri="05d6ef7f-85ce-413e-b73e-e985465ff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B5ED74-2D25-4420-B5FC-860497D73370}">
  <ds:schemaRefs>
    <ds:schemaRef ds:uri="05d6ef7f-85ce-413e-b73e-e985465ff945"/>
    <ds:schemaRef ds:uri="71c1e4dc-dec0-4b23-a6e1-2db2a279cac6"/>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3632E04-AFD9-4AC6-81D2-3E4340022E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2102</Words>
  <Characters>11988</Characters>
  <Application>Microsoft Office Word</Application>
  <DocSecurity>0</DocSecurity>
  <Lines>99</Lines>
  <Paragraphs>28</Paragraphs>
  <ScaleCrop>false</ScaleCrop>
  <Company/>
  <LinksUpToDate>false</LinksUpToDate>
  <CharactersWithSpaces>14062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Streich, Jonathan</dc:creator>
  <cp:keywords/>
  <dc:description/>
  <cp:lastModifiedBy>Deevy, Philip</cp:lastModifiedBy>
  <cp:revision>2</cp:revision>
  <dcterms:created xsi:type="dcterms:W3CDTF">2025-10-23T16:55:00Z</dcterms:created>
  <dcterms:modified xsi:type="dcterms:W3CDTF">2025-10-23T16:55:00Z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0x010100AB1B6BA59F67AF4B9655EF6669CFFC7D</vt:lpwstr>
  </property>
  <property fmtid="{D5CDD505-2E9C-101B-9397-08002B2CF9AE}" pid="3" name="MediaServiceImageTags">
    <vt:lpwstr/>
  </property>
</Properties>
</file>